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4F6B" w14:textId="77777777" w:rsidR="00951D96" w:rsidRDefault="00951D96" w:rsidP="00951D96">
      <w:pPr>
        <w:jc w:val="center"/>
        <w:rPr>
          <w:b/>
          <w:bCs/>
          <w:color w:val="215E99" w:themeColor="text2" w:themeTint="BF"/>
          <w:sz w:val="28"/>
          <w:szCs w:val="28"/>
          <w:lang w:val="en-US"/>
        </w:rPr>
      </w:pPr>
      <w:bookmarkStart w:id="0" w:name="_Hlk207119077"/>
    </w:p>
    <w:p w14:paraId="35A199E8" w14:textId="3EC007E9" w:rsidR="00033773" w:rsidRPr="00951D96" w:rsidRDefault="00C269BC" w:rsidP="00951D96">
      <w:pPr>
        <w:jc w:val="center"/>
        <w:rPr>
          <w:b/>
          <w:bCs/>
          <w:color w:val="215E99" w:themeColor="text2" w:themeTint="BF"/>
          <w:sz w:val="28"/>
          <w:szCs w:val="28"/>
          <w:lang w:val="en-US"/>
        </w:rPr>
      </w:pPr>
      <w:r w:rsidRPr="00951D96">
        <w:rPr>
          <w:b/>
          <w:bCs/>
          <w:color w:val="215E99" w:themeColor="text2" w:themeTint="BF"/>
          <w:sz w:val="28"/>
          <w:szCs w:val="28"/>
          <w:lang w:val="en-US"/>
        </w:rPr>
        <w:t xml:space="preserve">The Coalition for Energy Savings: </w:t>
      </w:r>
      <w:r w:rsidR="00D06290">
        <w:rPr>
          <w:b/>
          <w:bCs/>
          <w:color w:val="215E99" w:themeColor="text2" w:themeTint="BF"/>
          <w:sz w:val="28"/>
          <w:szCs w:val="28"/>
          <w:lang w:val="en-US"/>
        </w:rPr>
        <w:t>A</w:t>
      </w:r>
      <w:r w:rsidRPr="00951D96">
        <w:rPr>
          <w:b/>
          <w:bCs/>
          <w:color w:val="215E99" w:themeColor="text2" w:themeTint="BF"/>
          <w:sz w:val="28"/>
          <w:szCs w:val="28"/>
          <w:lang w:val="en-US"/>
        </w:rPr>
        <w:t>nswer to the public consultation on the Citizens Energy Package</w:t>
      </w:r>
      <w:r w:rsidR="00951D96" w:rsidRPr="00951D96">
        <w:rPr>
          <w:b/>
          <w:bCs/>
          <w:color w:val="215E99" w:themeColor="text2" w:themeTint="BF"/>
          <w:sz w:val="28"/>
          <w:szCs w:val="28"/>
          <w:lang w:val="en-US"/>
        </w:rPr>
        <w:t>:</w:t>
      </w:r>
    </w:p>
    <w:p w14:paraId="4B3B52AD" w14:textId="77777777" w:rsidR="00951D96" w:rsidRPr="00951D96" w:rsidRDefault="00951D96" w:rsidP="00BE7B4C">
      <w:pPr>
        <w:jc w:val="center"/>
        <w:rPr>
          <w:b/>
          <w:bCs/>
          <w:sz w:val="28"/>
          <w:szCs w:val="28"/>
          <w:lang w:val="en-US"/>
        </w:rPr>
      </w:pPr>
    </w:p>
    <w:p w14:paraId="35767718" w14:textId="4599BAD7" w:rsidR="00C269BC" w:rsidRDefault="00C269BC">
      <w:pPr>
        <w:rPr>
          <w:b/>
          <w:bCs/>
        </w:rPr>
      </w:pPr>
      <w:r w:rsidRPr="00C269BC">
        <w:rPr>
          <w:b/>
          <w:bCs/>
        </w:rPr>
        <w:t>1. Questions on Just Transition and Energy Poverty</w:t>
      </w:r>
    </w:p>
    <w:p w14:paraId="4DF1D0B4" w14:textId="1E1F80F3" w:rsidR="003C5FC0" w:rsidRPr="00BE7B4C" w:rsidRDefault="003C5FC0">
      <w:pPr>
        <w:rPr>
          <w:i/>
          <w:iCs/>
        </w:rPr>
      </w:pPr>
      <w:r w:rsidRPr="00BE7B4C">
        <w:rPr>
          <w:i/>
          <w:iCs/>
        </w:rPr>
        <w:t>01. What priority actions are needed at EU, national and local level to ensure that just transition and consumer rights become concrete throughout all the EU Member States?</w:t>
      </w:r>
    </w:p>
    <w:p w14:paraId="429DA2F5" w14:textId="7982ED02" w:rsidR="006A1D26" w:rsidRDefault="7FC8218A" w:rsidP="00575ABE">
      <w:pPr>
        <w:tabs>
          <w:tab w:val="left" w:pos="8647"/>
        </w:tabs>
        <w:jc w:val="both"/>
        <w:rPr>
          <w:lang w:val="en-US"/>
        </w:rPr>
      </w:pPr>
      <w:r w:rsidRPr="7FC8218A">
        <w:rPr>
          <w:lang w:val="en-US"/>
        </w:rPr>
        <w:t xml:space="preserve">The first priority action to ensure a just and fair transition that addresses the root causes of energy poverty is the full and ambitious implementation of the agreed EU energy efficiency framework. First of all, the Energy Efficiency Directive contains important provisions to mitigate energy poverty. The Energy Savings Obligation (EED Article 8) mandates that a share of the energy savings be delivered among vulnerable groups based on the national share of citizens in energy poverty. The obligation to renovate a share of public buildings each year (EED Article 6) </w:t>
      </w:r>
      <w:r w:rsidR="00E73A71">
        <w:rPr>
          <w:lang w:val="en-US"/>
        </w:rPr>
        <w:t>should</w:t>
      </w:r>
      <w:r w:rsidRPr="7FC8218A">
        <w:rPr>
          <w:lang w:val="en-US"/>
        </w:rPr>
        <w:t xml:space="preserve"> entail the renovation of social housing for the benefit of low-income households</w:t>
      </w:r>
      <w:r w:rsidR="008546A1">
        <w:rPr>
          <w:lang w:val="en-US"/>
        </w:rPr>
        <w:t>.</w:t>
      </w:r>
      <w:r w:rsidR="00556124">
        <w:rPr>
          <w:lang w:val="en-US"/>
        </w:rPr>
        <w:t xml:space="preserve"> </w:t>
      </w:r>
      <w:r w:rsidR="008546A1">
        <w:rPr>
          <w:lang w:val="en-US"/>
        </w:rPr>
        <w:t>T</w:t>
      </w:r>
      <w:r w:rsidR="00870FEB">
        <w:rPr>
          <w:lang w:val="en-US"/>
        </w:rPr>
        <w:t>ogether with</w:t>
      </w:r>
      <w:r w:rsidR="00556124">
        <w:rPr>
          <w:lang w:val="en-US"/>
        </w:rPr>
        <w:t xml:space="preserve"> </w:t>
      </w:r>
      <w:r w:rsidR="00556124">
        <w:t>the obligation to improve the efficiency of public authorities</w:t>
      </w:r>
      <w:r w:rsidR="00870FEB">
        <w:t xml:space="preserve"> (</w:t>
      </w:r>
      <w:r w:rsidR="007E5901">
        <w:t xml:space="preserve">EED </w:t>
      </w:r>
      <w:r w:rsidR="00870FEB">
        <w:t xml:space="preserve">Article 5), </w:t>
      </w:r>
      <w:r w:rsidR="00347CE8">
        <w:t xml:space="preserve">Article 6 </w:t>
      </w:r>
      <w:r w:rsidR="007E5901">
        <w:t xml:space="preserve">also has </w:t>
      </w:r>
      <w:r w:rsidR="00870FEB">
        <w:t>a</w:t>
      </w:r>
      <w:r w:rsidR="00556124">
        <w:t xml:space="preserve"> </w:t>
      </w:r>
      <w:r w:rsidR="00870FEB">
        <w:t>role</w:t>
      </w:r>
      <w:r w:rsidR="00347CE8">
        <w:t xml:space="preserve"> to play in order</w:t>
      </w:r>
      <w:r w:rsidR="00556124">
        <w:t xml:space="preserve"> to grant citizens</w:t>
      </w:r>
      <w:r w:rsidR="00556124" w:rsidRPr="00556124">
        <w:t xml:space="preserve"> well-functioning </w:t>
      </w:r>
      <w:r w:rsidR="008C356E">
        <w:t xml:space="preserve">and efficient </w:t>
      </w:r>
      <w:r w:rsidR="00556124" w:rsidRPr="00556124">
        <w:t>infrastructures and buildings that can contribute to the</w:t>
      </w:r>
      <w:r w:rsidR="007E5901">
        <w:t>ir</w:t>
      </w:r>
      <w:r w:rsidR="00556124" w:rsidRPr="00556124">
        <w:t xml:space="preserve"> </w:t>
      </w:r>
      <w:r w:rsidR="007E5901">
        <w:t>well-being</w:t>
      </w:r>
      <w:r w:rsidRPr="7FC8218A">
        <w:rPr>
          <w:lang w:val="en-US"/>
        </w:rPr>
        <w:t>. Finally,</w:t>
      </w:r>
      <w:r w:rsidR="00976E2D">
        <w:rPr>
          <w:lang w:val="en-US"/>
        </w:rPr>
        <w:t xml:space="preserve"> in multi-apartment buildings</w:t>
      </w:r>
      <w:r w:rsidR="000D2482">
        <w:rPr>
          <w:lang w:val="en-US"/>
        </w:rPr>
        <w:t>,</w:t>
      </w:r>
      <w:r w:rsidR="00314353">
        <w:rPr>
          <w:lang w:val="en-US"/>
        </w:rPr>
        <w:t xml:space="preserve"> EED</w:t>
      </w:r>
      <w:r w:rsidRPr="7FC8218A">
        <w:rPr>
          <w:lang w:val="en-US"/>
        </w:rPr>
        <w:t xml:space="preserve"> </w:t>
      </w:r>
      <w:bookmarkStart w:id="1" w:name="_Hlk204689295"/>
      <w:r w:rsidRPr="7FC8218A">
        <w:rPr>
          <w:lang w:val="en-US"/>
        </w:rPr>
        <w:t xml:space="preserve">Articles 15 and 16 </w:t>
      </w:r>
      <w:r w:rsidR="000D2482">
        <w:rPr>
          <w:lang w:val="en-US"/>
        </w:rPr>
        <w:t>mandate</w:t>
      </w:r>
      <w:r w:rsidR="00976E2D">
        <w:rPr>
          <w:lang w:val="en-US"/>
        </w:rPr>
        <w:t xml:space="preserve"> the installation of individual meters to measure the consumption of</w:t>
      </w:r>
      <w:r w:rsidRPr="7FC8218A">
        <w:rPr>
          <w:lang w:val="en-US"/>
        </w:rPr>
        <w:t xml:space="preserve"> heating, cooling and domestic hot water</w:t>
      </w:r>
      <w:r w:rsidR="00976E2D">
        <w:rPr>
          <w:lang w:val="en-US"/>
        </w:rPr>
        <w:t xml:space="preserve"> in each building </w:t>
      </w:r>
      <w:r w:rsidR="000D2482">
        <w:rPr>
          <w:lang w:val="en-US"/>
        </w:rPr>
        <w:t>unit</w:t>
      </w:r>
      <w:r w:rsidR="00844C65">
        <w:rPr>
          <w:lang w:val="en-US"/>
        </w:rPr>
        <w:t>.</w:t>
      </w:r>
      <w:r w:rsidR="00976E2D">
        <w:rPr>
          <w:lang w:val="en-US"/>
        </w:rPr>
        <w:t xml:space="preserve"> </w:t>
      </w:r>
      <w:r w:rsidR="00DF75CB">
        <w:rPr>
          <w:lang w:val="en-US"/>
        </w:rPr>
        <w:t xml:space="preserve">A strong and </w:t>
      </w:r>
      <w:r w:rsidR="0071368D">
        <w:rPr>
          <w:lang w:val="en-US"/>
        </w:rPr>
        <w:t>swift</w:t>
      </w:r>
      <w:r w:rsidR="00DF75CB">
        <w:rPr>
          <w:lang w:val="en-US"/>
        </w:rPr>
        <w:t xml:space="preserve"> implementation of this provision </w:t>
      </w:r>
      <w:r w:rsidR="00A60DDD">
        <w:rPr>
          <w:lang w:val="en-US"/>
        </w:rPr>
        <w:t xml:space="preserve">will facilitate </w:t>
      </w:r>
      <w:r w:rsidR="00E10049">
        <w:rPr>
          <w:lang w:val="en-US"/>
        </w:rPr>
        <w:t xml:space="preserve">more frequent </w:t>
      </w:r>
      <w:r w:rsidR="00C068C1">
        <w:rPr>
          <w:lang w:val="en-US"/>
        </w:rPr>
        <w:t xml:space="preserve">information </w:t>
      </w:r>
      <w:r w:rsidR="00DD17C6">
        <w:rPr>
          <w:lang w:val="en-US"/>
        </w:rPr>
        <w:t xml:space="preserve">on energy consumption </w:t>
      </w:r>
      <w:r w:rsidR="00F00705">
        <w:rPr>
          <w:lang w:val="en-US"/>
        </w:rPr>
        <w:t xml:space="preserve">and </w:t>
      </w:r>
      <w:r w:rsidRPr="7FC8218A">
        <w:rPr>
          <w:lang w:val="en-US"/>
        </w:rPr>
        <w:t>allow consumers to have better knowledge</w:t>
      </w:r>
      <w:r w:rsidR="000949D2">
        <w:rPr>
          <w:lang w:val="en-US"/>
        </w:rPr>
        <w:t>,</w:t>
      </w:r>
      <w:r w:rsidRPr="7FC8218A">
        <w:rPr>
          <w:lang w:val="en-US"/>
        </w:rPr>
        <w:t xml:space="preserve"> and</w:t>
      </w:r>
      <w:r w:rsidR="000949D2">
        <w:rPr>
          <w:lang w:val="en-US"/>
        </w:rPr>
        <w:t xml:space="preserve"> </w:t>
      </w:r>
      <w:r w:rsidRPr="7FC8218A">
        <w:rPr>
          <w:lang w:val="en-US"/>
        </w:rPr>
        <w:t>therefore control</w:t>
      </w:r>
      <w:r w:rsidR="000949D2">
        <w:rPr>
          <w:lang w:val="en-US"/>
        </w:rPr>
        <w:t>,</w:t>
      </w:r>
      <w:r w:rsidRPr="7FC8218A">
        <w:rPr>
          <w:lang w:val="en-US"/>
        </w:rPr>
        <w:t xml:space="preserve"> over their energy </w:t>
      </w:r>
      <w:r w:rsidR="00DD17C6">
        <w:rPr>
          <w:lang w:val="en-US"/>
        </w:rPr>
        <w:t xml:space="preserve">use, leading to </w:t>
      </w:r>
      <w:r w:rsidR="008B0FA6">
        <w:rPr>
          <w:lang w:val="en-US"/>
        </w:rPr>
        <w:t xml:space="preserve">data-driven energy flow </w:t>
      </w:r>
      <w:r w:rsidR="00DD17C6">
        <w:rPr>
          <w:lang w:val="en-US"/>
        </w:rPr>
        <w:t>optimi</w:t>
      </w:r>
      <w:r w:rsidR="0071368D">
        <w:rPr>
          <w:lang w:val="en-US"/>
        </w:rPr>
        <w:t>s</w:t>
      </w:r>
      <w:r w:rsidR="00DD17C6">
        <w:rPr>
          <w:lang w:val="en-US"/>
        </w:rPr>
        <w:t>ation, helping to</w:t>
      </w:r>
      <w:r w:rsidR="008B0FA6">
        <w:rPr>
          <w:lang w:val="en-US"/>
        </w:rPr>
        <w:t xml:space="preserve"> </w:t>
      </w:r>
      <w:r w:rsidR="00DD17C6">
        <w:rPr>
          <w:lang w:val="en-US"/>
        </w:rPr>
        <w:t>cut</w:t>
      </w:r>
      <w:r w:rsidR="00EC5837">
        <w:rPr>
          <w:lang w:val="en-US"/>
        </w:rPr>
        <w:t xml:space="preserve"> energy bills </w:t>
      </w:r>
      <w:r w:rsidR="00DD17C6">
        <w:rPr>
          <w:lang w:val="en-US"/>
        </w:rPr>
        <w:t xml:space="preserve">for the </w:t>
      </w:r>
      <w:r w:rsidR="00EC5837">
        <w:rPr>
          <w:lang w:val="en-US"/>
        </w:rPr>
        <w:t>same level of indoor comfort.</w:t>
      </w:r>
      <w:r w:rsidR="00BF676D">
        <w:rPr>
          <w:lang w:val="en-US"/>
        </w:rPr>
        <w:t xml:space="preserve"> </w:t>
      </w:r>
      <w:r w:rsidR="00A531AB">
        <w:rPr>
          <w:lang w:val="en-US"/>
        </w:rPr>
        <w:t xml:space="preserve"> </w:t>
      </w:r>
      <w:bookmarkEnd w:id="1"/>
    </w:p>
    <w:p w14:paraId="332432A3" w14:textId="078DAADF" w:rsidR="0031531C" w:rsidRDefault="0031531C" w:rsidP="00575ABE">
      <w:pPr>
        <w:jc w:val="both"/>
        <w:rPr>
          <w:lang w:val="en-US"/>
        </w:rPr>
      </w:pPr>
      <w:r>
        <w:t>The implementation of the Energy Performance of Buildings Directive</w:t>
      </w:r>
      <w:r w:rsidR="004C7A05">
        <w:rPr>
          <w:lang w:val="en-US"/>
        </w:rPr>
        <w:t xml:space="preserve"> (EPBD)</w:t>
      </w:r>
      <w:r>
        <w:t xml:space="preserve"> is also paramount, </w:t>
      </w:r>
      <w:r w:rsidR="0021721B">
        <w:t>namely through the mandatory focus</w:t>
      </w:r>
      <w:r w:rsidR="00B92C24">
        <w:t xml:space="preserve"> on the renovation of worst-performing buildings </w:t>
      </w:r>
      <w:r w:rsidR="004A0977">
        <w:t xml:space="preserve">within the </w:t>
      </w:r>
      <w:r w:rsidR="0021721B">
        <w:t xml:space="preserve">national </w:t>
      </w:r>
      <w:r w:rsidR="004A0977">
        <w:t xml:space="preserve">trajectories for the </w:t>
      </w:r>
      <w:r w:rsidR="0021721B">
        <w:t xml:space="preserve">renovation </w:t>
      </w:r>
      <w:r w:rsidR="004A0977">
        <w:t>of residential buildings</w:t>
      </w:r>
      <w:r w:rsidR="008C1802">
        <w:t xml:space="preserve"> (Article 9)</w:t>
      </w:r>
      <w:r w:rsidR="004A0977">
        <w:t xml:space="preserve">. </w:t>
      </w:r>
      <w:r w:rsidR="0021721B">
        <w:t>In addition, t</w:t>
      </w:r>
      <w:r w:rsidR="004A0977">
        <w:t>he provisions on</w:t>
      </w:r>
      <w:r w:rsidR="004C7A05">
        <w:rPr>
          <w:lang w:val="en-US"/>
        </w:rPr>
        <w:t xml:space="preserve"> financial incentives and market barriers (Article 17),</w:t>
      </w:r>
      <w:r w:rsidR="004A0977">
        <w:t xml:space="preserve"> </w:t>
      </w:r>
      <w:r w:rsidR="00C97594">
        <w:t>O</w:t>
      </w:r>
      <w:r w:rsidR="00864A15">
        <w:t>ne-</w:t>
      </w:r>
      <w:r w:rsidR="00C97594">
        <w:t>S</w:t>
      </w:r>
      <w:r w:rsidR="00864A15">
        <w:t xml:space="preserve">top </w:t>
      </w:r>
      <w:r w:rsidR="00C97594">
        <w:t>S</w:t>
      </w:r>
      <w:r w:rsidR="00864A15">
        <w:t>hops</w:t>
      </w:r>
      <w:r w:rsidR="00C97594">
        <w:t xml:space="preserve"> (OSSs)</w:t>
      </w:r>
      <w:r w:rsidR="00864A15">
        <w:t xml:space="preserve"> (Article 18)</w:t>
      </w:r>
      <w:r w:rsidR="00B92C24">
        <w:t xml:space="preserve"> </w:t>
      </w:r>
      <w:r w:rsidR="00667DAF">
        <w:t>and on the smart readiness of buildings (Article 15)</w:t>
      </w:r>
      <w:r w:rsidR="00864A15">
        <w:t xml:space="preserve"> are </w:t>
      </w:r>
      <w:r w:rsidR="00C66F6B">
        <w:t>important</w:t>
      </w:r>
      <w:r w:rsidR="00864A15">
        <w:t xml:space="preserve"> to grant consumers </w:t>
      </w:r>
      <w:r w:rsidR="00AC3ED7">
        <w:t xml:space="preserve">more power over their energy consumption </w:t>
      </w:r>
      <w:r w:rsidR="004B3C91">
        <w:t xml:space="preserve">and </w:t>
      </w:r>
      <w:r w:rsidR="005C6E22">
        <w:t>give</w:t>
      </w:r>
      <w:r w:rsidR="004B3C91">
        <w:t xml:space="preserve"> them the necessary tools to undergo energy efficiency improvements.</w:t>
      </w:r>
      <w:r w:rsidR="004C7A05">
        <w:rPr>
          <w:lang w:val="en-US"/>
        </w:rPr>
        <w:t xml:space="preserve"> </w:t>
      </w:r>
      <w:r w:rsidR="00EF67FC">
        <w:rPr>
          <w:lang w:val="en-US"/>
        </w:rPr>
        <w:t xml:space="preserve">The </w:t>
      </w:r>
      <w:r w:rsidR="004C7A05">
        <w:rPr>
          <w:lang w:val="en-US"/>
        </w:rPr>
        <w:t xml:space="preserve">most vulnerable households and energy poor </w:t>
      </w:r>
      <w:r w:rsidR="00EF67FC">
        <w:rPr>
          <w:lang w:val="en-US"/>
        </w:rPr>
        <w:t>needs to be</w:t>
      </w:r>
      <w:r w:rsidR="00126C1D">
        <w:rPr>
          <w:lang w:val="en-US"/>
        </w:rPr>
        <w:t xml:space="preserve"> included and empowered to take part </w:t>
      </w:r>
      <w:r w:rsidR="00EF67FC">
        <w:rPr>
          <w:lang w:val="en-US"/>
        </w:rPr>
        <w:t>in the energy transition.</w:t>
      </w:r>
      <w:r w:rsidR="00126C1D">
        <w:rPr>
          <w:lang w:val="en-US"/>
        </w:rPr>
        <w:t xml:space="preserve"> </w:t>
      </w:r>
      <w:r w:rsidR="00EF67FC">
        <w:rPr>
          <w:lang w:val="en-US"/>
        </w:rPr>
        <w:t>Prioritising</w:t>
      </w:r>
      <w:r w:rsidR="00126C1D">
        <w:rPr>
          <w:lang w:val="en-US"/>
        </w:rPr>
        <w:t xml:space="preserve"> </w:t>
      </w:r>
      <w:r w:rsidR="00EF67FC">
        <w:rPr>
          <w:lang w:val="en-US"/>
        </w:rPr>
        <w:t xml:space="preserve">the </w:t>
      </w:r>
      <w:r w:rsidR="00126C1D">
        <w:rPr>
          <w:lang w:val="en-US"/>
        </w:rPr>
        <w:t>disbursement of financial aid (especially if public),</w:t>
      </w:r>
      <w:r w:rsidR="004C7A05">
        <w:rPr>
          <w:lang w:val="en-US"/>
        </w:rPr>
        <w:t xml:space="preserve"> </w:t>
      </w:r>
      <w:r w:rsidR="00126C1D">
        <w:rPr>
          <w:lang w:val="en-US"/>
        </w:rPr>
        <w:t>linking financial measures to</w:t>
      </w:r>
      <w:r w:rsidR="00C16A69">
        <w:rPr>
          <w:lang w:val="en-US"/>
        </w:rPr>
        <w:t xml:space="preserve"> the level of targeted or </w:t>
      </w:r>
      <w:r w:rsidR="00126C1D">
        <w:rPr>
          <w:lang w:val="en-US"/>
        </w:rPr>
        <w:t>achieved energy savings and improvement</w:t>
      </w:r>
      <w:r w:rsidR="00E83751">
        <w:rPr>
          <w:lang w:val="en-US"/>
        </w:rPr>
        <w:t>s,</w:t>
      </w:r>
      <w:r w:rsidR="00126C1D">
        <w:rPr>
          <w:lang w:val="en-US"/>
        </w:rPr>
        <w:t xml:space="preserve"> and introducing social safeguards</w:t>
      </w:r>
      <w:r w:rsidR="00E83751">
        <w:rPr>
          <w:lang w:val="en-US"/>
        </w:rPr>
        <w:t xml:space="preserve"> </w:t>
      </w:r>
      <w:r w:rsidR="00D7294C">
        <w:rPr>
          <w:lang w:val="en-US"/>
        </w:rPr>
        <w:t xml:space="preserve">is </w:t>
      </w:r>
      <w:r w:rsidR="00E83751">
        <w:rPr>
          <w:lang w:val="en-US"/>
        </w:rPr>
        <w:t xml:space="preserve">of </w:t>
      </w:r>
      <w:r w:rsidR="00C16A69">
        <w:rPr>
          <w:lang w:val="en-US"/>
        </w:rPr>
        <w:t>crucial</w:t>
      </w:r>
      <w:r w:rsidR="00E83751">
        <w:rPr>
          <w:lang w:val="en-US"/>
        </w:rPr>
        <w:t xml:space="preserve"> importance.</w:t>
      </w:r>
    </w:p>
    <w:p w14:paraId="2D5F2937" w14:textId="3BC5B2F7" w:rsidR="00601B05" w:rsidRDefault="008C1802" w:rsidP="00575ABE">
      <w:pPr>
        <w:jc w:val="both"/>
      </w:pPr>
      <w:r>
        <w:rPr>
          <w:lang w:val="en-US"/>
        </w:rPr>
        <w:t>Looking forward,</w:t>
      </w:r>
      <w:r w:rsidR="00C16A69">
        <w:rPr>
          <w:lang w:val="en-US"/>
        </w:rPr>
        <w:t xml:space="preserve"> and linked to the above,</w:t>
      </w:r>
      <w:r>
        <w:rPr>
          <w:lang w:val="en-US"/>
        </w:rPr>
        <w:t xml:space="preserve"> n</w:t>
      </w:r>
      <w:r w:rsidR="7FC8218A" w:rsidRPr="7FC8218A">
        <w:rPr>
          <w:lang w:val="en-US"/>
        </w:rPr>
        <w:t xml:space="preserve">ew actions by the European Commission should provide </w:t>
      </w:r>
      <w:r w:rsidR="00EC6455" w:rsidRPr="7FC8218A">
        <w:rPr>
          <w:lang w:val="en-US"/>
        </w:rPr>
        <w:t>enabling</w:t>
      </w:r>
      <w:r w:rsidR="7FC8218A" w:rsidRPr="7FC8218A">
        <w:rPr>
          <w:lang w:val="en-US"/>
        </w:rPr>
        <w:t xml:space="preserve"> conditions to ensure and accelerate the implementation of the </w:t>
      </w:r>
      <w:r w:rsidR="7FC8218A" w:rsidRPr="7FC8218A">
        <w:rPr>
          <w:lang w:val="en-US"/>
        </w:rPr>
        <w:lastRenderedPageBreak/>
        <w:t>energy efficiency framework</w:t>
      </w:r>
      <w:r w:rsidR="00E73A71">
        <w:rPr>
          <w:lang w:val="en-US"/>
        </w:rPr>
        <w:t>, and support the reduction of the ambition gap for energy efficiency in the National Energy and Climate Plans</w:t>
      </w:r>
      <w:r w:rsidR="7FC8218A" w:rsidRPr="7FC8218A">
        <w:rPr>
          <w:lang w:val="en-US"/>
        </w:rPr>
        <w:t xml:space="preserve">. For instance, the measures announced in the Action Plan for Affordable Energy should be implemented to reduce the cost of energy, </w:t>
      </w:r>
      <w:r w:rsidR="00AF25D4">
        <w:rPr>
          <w:lang w:val="en-US"/>
        </w:rPr>
        <w:t>improve energy efficiency</w:t>
      </w:r>
      <w:r w:rsidR="008C4719">
        <w:rPr>
          <w:lang w:val="en-US"/>
        </w:rPr>
        <w:t xml:space="preserve"> </w:t>
      </w:r>
      <w:r w:rsidR="7FC8218A" w:rsidRPr="7FC8218A">
        <w:rPr>
          <w:lang w:val="en-US"/>
        </w:rPr>
        <w:t xml:space="preserve">and </w:t>
      </w:r>
      <w:r w:rsidR="008C4719">
        <w:rPr>
          <w:lang w:val="en-US"/>
        </w:rPr>
        <w:t>lower</w:t>
      </w:r>
      <w:r w:rsidR="7FC8218A" w:rsidRPr="7FC8218A">
        <w:rPr>
          <w:lang w:val="en-US"/>
        </w:rPr>
        <w:t xml:space="preserve"> bills for European vulnerable households.</w:t>
      </w:r>
    </w:p>
    <w:p w14:paraId="4FB44913" w14:textId="793BEA6D" w:rsidR="005B4162" w:rsidRDefault="7FC8218A" w:rsidP="00575ABE">
      <w:pPr>
        <w:jc w:val="both"/>
        <w:rPr>
          <w:lang w:val="en-US"/>
        </w:rPr>
      </w:pPr>
      <w:r w:rsidRPr="7FC8218A">
        <w:rPr>
          <w:lang w:val="en-US"/>
        </w:rPr>
        <w:t xml:space="preserve">Regarding financing, the inclusion of the promotion of energy efficiency as an objective of the several funds encompassed under the new National and Regional Partnership Plans and the European Competitiveness Fund in the proposed 2028-2034 Multiannual Financial Framework is a good step forward, but Member States should be further incentivised to direct available funds towards energy efficiency solutions. In particular, the Social Climate Fund and the revenue from the ETS 2 </w:t>
      </w:r>
      <w:r w:rsidR="00BA1997">
        <w:rPr>
          <w:lang w:val="en-US"/>
        </w:rPr>
        <w:t>must</w:t>
      </w:r>
      <w:r w:rsidRPr="7FC8218A">
        <w:rPr>
          <w:lang w:val="en-US"/>
        </w:rPr>
        <w:t xml:space="preserve"> be targeted at the most vulnerable, to ensure access to sufficient funding for those who cannot afford </w:t>
      </w:r>
      <w:r w:rsidR="00B53633">
        <w:rPr>
          <w:lang w:val="en-US"/>
        </w:rPr>
        <w:t xml:space="preserve">to install </w:t>
      </w:r>
      <w:r w:rsidRPr="7FC8218A">
        <w:rPr>
          <w:lang w:val="en-US"/>
        </w:rPr>
        <w:t xml:space="preserve">energy efficiency </w:t>
      </w:r>
      <w:r w:rsidR="00B53633">
        <w:rPr>
          <w:lang w:val="en-US"/>
        </w:rPr>
        <w:t>solutions</w:t>
      </w:r>
      <w:r w:rsidRPr="7FC8218A">
        <w:rPr>
          <w:lang w:val="en-US"/>
        </w:rPr>
        <w:t xml:space="preserve">. Such demand is backed by citizens, as the second recommendation of the Citizens Panel on Energy Efficiency calls for financing a </w:t>
      </w:r>
      <w:r w:rsidR="008D4272">
        <w:rPr>
          <w:lang w:val="en-US"/>
        </w:rPr>
        <w:t>“</w:t>
      </w:r>
      <w:r w:rsidRPr="7FC8218A">
        <w:rPr>
          <w:lang w:val="en-US"/>
        </w:rPr>
        <w:t xml:space="preserve">fair right to </w:t>
      </w:r>
      <w:r w:rsidR="000D2200">
        <w:rPr>
          <w:lang w:val="en-US"/>
        </w:rPr>
        <w:t>energy-related</w:t>
      </w:r>
      <w:r w:rsidRPr="7FC8218A">
        <w:rPr>
          <w:lang w:val="en-US"/>
        </w:rPr>
        <w:t xml:space="preserve"> home renovation</w:t>
      </w:r>
      <w:r w:rsidR="008D4272">
        <w:rPr>
          <w:lang w:val="en-US"/>
        </w:rPr>
        <w:t>”</w:t>
      </w:r>
      <w:r w:rsidR="00693E53">
        <w:rPr>
          <w:lang w:val="en-US"/>
        </w:rPr>
        <w:t>, namely</w:t>
      </w:r>
      <w:r w:rsidRPr="7FC8218A">
        <w:rPr>
          <w:lang w:val="en-US"/>
        </w:rPr>
        <w:t xml:space="preserve"> through an improved tax system and subsidy mechanisms</w:t>
      </w:r>
      <w:r w:rsidR="00693E53">
        <w:rPr>
          <w:lang w:val="en-US"/>
        </w:rPr>
        <w:t>.</w:t>
      </w:r>
    </w:p>
    <w:p w14:paraId="3A62F931" w14:textId="25BAC38F" w:rsidR="005B4162" w:rsidRDefault="005B4162" w:rsidP="00575ABE">
      <w:pPr>
        <w:jc w:val="both"/>
        <w:rPr>
          <w:lang w:val="en-US"/>
        </w:rPr>
      </w:pPr>
      <w:r w:rsidRPr="005B4162">
        <w:rPr>
          <w:lang w:val="en-US"/>
        </w:rPr>
        <w:t>Member States</w:t>
      </w:r>
      <w:r>
        <w:rPr>
          <w:lang w:val="en-US"/>
        </w:rPr>
        <w:t xml:space="preserve"> should also be encouraged</w:t>
      </w:r>
      <w:r w:rsidRPr="005B4162">
        <w:rPr>
          <w:lang w:val="en-US"/>
        </w:rPr>
        <w:t xml:space="preserve"> to </w:t>
      </w:r>
      <w:r w:rsidR="00DE107C">
        <w:rPr>
          <w:lang w:val="en-US"/>
        </w:rPr>
        <w:t>mitigate</w:t>
      </w:r>
      <w:r w:rsidRPr="005B4162">
        <w:rPr>
          <w:lang w:val="en-US"/>
        </w:rPr>
        <w:t xml:space="preserve"> energy poverty by </w:t>
      </w:r>
      <w:r w:rsidR="00FB74F7">
        <w:rPr>
          <w:lang w:val="en-US"/>
        </w:rPr>
        <w:t>financially s</w:t>
      </w:r>
      <w:r w:rsidR="00B158B5">
        <w:rPr>
          <w:lang w:val="en-US"/>
        </w:rPr>
        <w:t>upporting</w:t>
      </w:r>
      <w:r w:rsidR="00517E03">
        <w:rPr>
          <w:lang w:val="en-US"/>
        </w:rPr>
        <w:t xml:space="preserve"> </w:t>
      </w:r>
      <w:r w:rsidRPr="005B4162">
        <w:rPr>
          <w:lang w:val="en-US"/>
        </w:rPr>
        <w:t xml:space="preserve">the participation of vulnerable households in energy communities. This would offer a long-term, structural path outside of energy poverty, while </w:t>
      </w:r>
      <w:r w:rsidR="006D2EB2">
        <w:rPr>
          <w:lang w:val="en-US"/>
        </w:rPr>
        <w:t>undertaking</w:t>
      </w:r>
      <w:r w:rsidRPr="005B4162">
        <w:rPr>
          <w:lang w:val="en-US"/>
        </w:rPr>
        <w:t xml:space="preserve"> </w:t>
      </w:r>
      <w:r w:rsidR="00DE107C">
        <w:rPr>
          <w:lang w:val="en-US"/>
        </w:rPr>
        <w:t xml:space="preserve">actions to tackle </w:t>
      </w:r>
      <w:r w:rsidR="00516085">
        <w:rPr>
          <w:lang w:val="en-US"/>
        </w:rPr>
        <w:t>this issue</w:t>
      </w:r>
      <w:r w:rsidR="00DE107C">
        <w:rPr>
          <w:lang w:val="en-US"/>
        </w:rPr>
        <w:t>, such as building renovations.</w:t>
      </w:r>
      <w:r w:rsidRPr="005B4162">
        <w:rPr>
          <w:lang w:val="en-US"/>
        </w:rPr>
        <w:t xml:space="preserve"> </w:t>
      </w:r>
    </w:p>
    <w:p w14:paraId="13C2ED97" w14:textId="47D8442C" w:rsidR="00844C65" w:rsidRPr="00844C65" w:rsidRDefault="001638CD" w:rsidP="00844C65">
      <w:r>
        <w:t>We also call for the recognition of the</w:t>
      </w:r>
      <w:r w:rsidR="00844C65">
        <w:t xml:space="preserve"> enabling role of thermally efficient buildings in unlocking consumer participation and flexibility measures. I</w:t>
      </w:r>
      <w:r w:rsidR="00DC031B">
        <w:t>ndeed, i</w:t>
      </w:r>
      <w:r w:rsidR="00844C65">
        <w:t>nsulation measures can enhance the impact of technologies like smart meters and dynamic pricing, especially for vulnerable groups.</w:t>
      </w:r>
    </w:p>
    <w:p w14:paraId="25E029ED" w14:textId="64AD7311" w:rsidR="00E45299" w:rsidRPr="00517B7E" w:rsidRDefault="008636EF" w:rsidP="00E45299">
      <w:pPr>
        <w:jc w:val="both"/>
        <w:rPr>
          <w:lang w:val="en-GB"/>
        </w:rPr>
      </w:pPr>
      <w:r>
        <w:t>Finally</w:t>
      </w:r>
      <w:r w:rsidR="00AB175A">
        <w:t>, f</w:t>
      </w:r>
      <w:r w:rsidR="005B3135">
        <w:t xml:space="preserve">urther guidelines to support all policymakers </w:t>
      </w:r>
      <w:r w:rsidR="002E6B6D">
        <w:t>in choosing</w:t>
      </w:r>
      <w:r w:rsidR="00810318">
        <w:t xml:space="preserve"> cost-efficient</w:t>
      </w:r>
      <w:r w:rsidR="002E6B6D">
        <w:t xml:space="preserve"> energy efficiency solutions are also needed. </w:t>
      </w:r>
      <w:r w:rsidR="00C241C2">
        <w:t>For instance,</w:t>
      </w:r>
      <w:r w:rsidR="002E6B6D">
        <w:t xml:space="preserve"> the guidelines on the Cost-Benefit Analysis </w:t>
      </w:r>
      <w:r w:rsidR="0067498E">
        <w:t xml:space="preserve">(CBA) </w:t>
      </w:r>
      <w:r w:rsidR="002E6B6D">
        <w:t>and the sectoral guidelines</w:t>
      </w:r>
      <w:r w:rsidR="00C241C2">
        <w:t xml:space="preserve"> for the EE1st principle</w:t>
      </w:r>
      <w:r w:rsidR="002E6B6D">
        <w:t>,</w:t>
      </w:r>
      <w:r w:rsidR="001303EE">
        <w:t xml:space="preserve"> which could be</w:t>
      </w:r>
      <w:r w:rsidR="002E6B6D">
        <w:t xml:space="preserve"> published with </w:t>
      </w:r>
      <w:r w:rsidR="0067498E">
        <w:t>this package</w:t>
      </w:r>
      <w:r w:rsidR="002E6B6D">
        <w:t xml:space="preserve">, should </w:t>
      </w:r>
      <w:r w:rsidR="00514087">
        <w:t xml:space="preserve">be partly focused on offering advice and </w:t>
      </w:r>
      <w:r w:rsidR="00F2596F">
        <w:t>tailor-made</w:t>
      </w:r>
      <w:r w:rsidR="00514087">
        <w:t xml:space="preserve"> solutions on how to involve citizens in </w:t>
      </w:r>
      <w:r w:rsidR="00657CB2">
        <w:t>energy efficiency projects</w:t>
      </w:r>
      <w:r w:rsidR="007D3BD0">
        <w:t xml:space="preserve">. Specifically, the guidelines on the </w:t>
      </w:r>
      <w:r w:rsidR="0067498E">
        <w:t>CBA</w:t>
      </w:r>
      <w:r w:rsidR="007D3BD0">
        <w:t xml:space="preserve"> </w:t>
      </w:r>
      <w:r w:rsidR="00F2596F">
        <w:t>could help highlight</w:t>
      </w:r>
      <w:r w:rsidR="00657CB2">
        <w:t xml:space="preserve"> </w:t>
      </w:r>
      <w:r w:rsidR="00657CB2" w:rsidRPr="0008499E">
        <w:t xml:space="preserve">how to better evaluate </w:t>
      </w:r>
      <w:r w:rsidR="00F2596F" w:rsidRPr="0008499E">
        <w:t xml:space="preserve">and leverage </w:t>
      </w:r>
      <w:r w:rsidR="00657CB2" w:rsidRPr="0008499E">
        <w:t xml:space="preserve">projects that </w:t>
      </w:r>
      <w:r w:rsidR="00F2596F" w:rsidRPr="0008499E">
        <w:t>address</w:t>
      </w:r>
      <w:r w:rsidR="00657CB2" w:rsidRPr="0008499E">
        <w:t xml:space="preserve"> the root causes of energy poverty when deciding on policy and financing priorities.</w:t>
      </w:r>
      <w:r w:rsidR="00575ABE" w:rsidRPr="0008499E">
        <w:t xml:space="preserve"> </w:t>
      </w:r>
    </w:p>
    <w:p w14:paraId="72DA96AB" w14:textId="5977CDFE" w:rsidR="00033773" w:rsidRDefault="0018300E" w:rsidP="000F3E81">
      <w:pPr>
        <w:jc w:val="both"/>
      </w:pPr>
      <w:r>
        <w:t xml:space="preserve"> </w:t>
      </w:r>
    </w:p>
    <w:p w14:paraId="60DDD23E" w14:textId="40ED55AD" w:rsidR="003C5FC0" w:rsidRPr="00BE7B4C" w:rsidRDefault="00033773">
      <w:pPr>
        <w:rPr>
          <w:i/>
          <w:iCs/>
        </w:rPr>
      </w:pPr>
      <w:r w:rsidRPr="00BE7B4C">
        <w:rPr>
          <w:i/>
          <w:iCs/>
        </w:rPr>
        <w:t>02. What are the main challenges to tackling energy poverty in the EU?</w:t>
      </w:r>
      <w:r w:rsidRPr="00BE7B4C">
        <w:rPr>
          <w:i/>
          <w:iCs/>
        </w:rPr>
        <w:br/>
        <w:t>(Please rate according to importance)</w:t>
      </w:r>
    </w:p>
    <w:tbl>
      <w:tblPr>
        <w:tblW w:w="8420" w:type="dxa"/>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666"/>
        <w:gridCol w:w="1324"/>
        <w:gridCol w:w="1731"/>
        <w:gridCol w:w="1314"/>
        <w:gridCol w:w="1314"/>
        <w:gridCol w:w="1071"/>
      </w:tblGrid>
      <w:tr w:rsidR="00790150" w:rsidRPr="00033773" w14:paraId="7C71B41D" w14:textId="77777777" w:rsidTr="00790150">
        <w:trPr>
          <w:gridAfter w:val="5"/>
          <w:wAfter w:w="6754" w:type="dxa"/>
        </w:trPr>
        <w:tc>
          <w:tcPr>
            <w:tcW w:w="0" w:type="auto"/>
            <w:shd w:val="clear" w:color="auto" w:fill="FFFFFF" w:themeFill="background1"/>
            <w:vAlign w:val="center"/>
            <w:hideMark/>
          </w:tcPr>
          <w:p w14:paraId="180E6CD4" w14:textId="77777777" w:rsidR="00790150" w:rsidRPr="00033773" w:rsidRDefault="00790150" w:rsidP="00033773"/>
        </w:tc>
      </w:tr>
      <w:tr w:rsidR="00790150" w:rsidRPr="00033773" w14:paraId="3732570A" w14:textId="77777777" w:rsidTr="00790150">
        <w:tc>
          <w:tcPr>
            <w:tcW w:w="1666"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24E9DAD6" w14:textId="77777777" w:rsidR="00790150" w:rsidRPr="00033773" w:rsidRDefault="00790150" w:rsidP="00033773">
            <w:r w:rsidRPr="00033773">
              <w:lastRenderedPageBreak/>
              <w:t>High energy prices</w:t>
            </w:r>
          </w:p>
        </w:tc>
        <w:tc>
          <w:tcPr>
            <w:tcW w:w="132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3A7D0BC0" w14:textId="74804523" w:rsidR="00790150" w:rsidRPr="00033773" w:rsidRDefault="00790150" w:rsidP="00033773">
            <w:r>
              <w:t>Very important</w:t>
            </w:r>
          </w:p>
        </w:tc>
        <w:tc>
          <w:tcPr>
            <w:tcW w:w="1731"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6A388D94" w14:textId="77777777" w:rsidR="00790150" w:rsidRPr="00033773" w:rsidRDefault="00790150" w:rsidP="00033773"/>
        </w:tc>
        <w:tc>
          <w:tcPr>
            <w:tcW w:w="131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169C55E3" w14:textId="77777777" w:rsidR="00790150" w:rsidRPr="00033773" w:rsidRDefault="00790150" w:rsidP="00033773"/>
        </w:tc>
        <w:tc>
          <w:tcPr>
            <w:tcW w:w="131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0697A741" w14:textId="77777777" w:rsidR="00790150" w:rsidRPr="00033773" w:rsidRDefault="00790150" w:rsidP="00033773"/>
        </w:tc>
        <w:tc>
          <w:tcPr>
            <w:tcW w:w="1071"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02F82E87" w14:textId="77777777" w:rsidR="00790150" w:rsidRPr="00033773" w:rsidRDefault="00790150" w:rsidP="00033773"/>
        </w:tc>
      </w:tr>
      <w:tr w:rsidR="00790150" w:rsidRPr="00033773" w14:paraId="4264A24E" w14:textId="77777777" w:rsidTr="00790150">
        <w:tc>
          <w:tcPr>
            <w:tcW w:w="166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141E8ED" w14:textId="77777777" w:rsidR="00790150" w:rsidRPr="00033773" w:rsidRDefault="00790150" w:rsidP="00033773">
            <w:r w:rsidRPr="00033773">
              <w:t>Effective identification of vulnerable and energy poor consumer</w:t>
            </w:r>
          </w:p>
        </w:tc>
        <w:tc>
          <w:tcPr>
            <w:tcW w:w="132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8918F88" w14:textId="77777777" w:rsidR="00790150" w:rsidRPr="00033773" w:rsidRDefault="00790150" w:rsidP="00033773"/>
        </w:tc>
        <w:tc>
          <w:tcPr>
            <w:tcW w:w="173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33C4088" w14:textId="2193F353" w:rsidR="00790150" w:rsidRPr="00033773" w:rsidRDefault="00790150" w:rsidP="00033773">
            <w:r>
              <w:t>Important</w:t>
            </w:r>
          </w:p>
        </w:tc>
        <w:tc>
          <w:tcPr>
            <w:tcW w:w="131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9845914" w14:textId="77777777" w:rsidR="00790150" w:rsidRPr="00033773" w:rsidRDefault="00790150" w:rsidP="00033773"/>
        </w:tc>
        <w:tc>
          <w:tcPr>
            <w:tcW w:w="131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55A2C89" w14:textId="77777777" w:rsidR="00790150" w:rsidRPr="00033773" w:rsidRDefault="00790150" w:rsidP="00033773"/>
        </w:tc>
        <w:tc>
          <w:tcPr>
            <w:tcW w:w="107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F6B4D34" w14:textId="77777777" w:rsidR="00790150" w:rsidRPr="00033773" w:rsidRDefault="00790150" w:rsidP="00033773"/>
        </w:tc>
      </w:tr>
      <w:tr w:rsidR="00790150" w:rsidRPr="00033773" w14:paraId="293A9F7A" w14:textId="77777777" w:rsidTr="00790150">
        <w:tc>
          <w:tcPr>
            <w:tcW w:w="1666"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29B3533E" w14:textId="77777777" w:rsidR="00790150" w:rsidRPr="00033773" w:rsidRDefault="00790150" w:rsidP="00033773">
            <w:r w:rsidRPr="00033773">
              <w:t>Lack of energy efficiency in housing</w:t>
            </w:r>
          </w:p>
        </w:tc>
        <w:tc>
          <w:tcPr>
            <w:tcW w:w="132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5F8D413F" w14:textId="3B43ACFD" w:rsidR="00790150" w:rsidRPr="00033773" w:rsidRDefault="00790150" w:rsidP="00033773">
            <w:r>
              <w:t>Very important</w:t>
            </w:r>
          </w:p>
        </w:tc>
        <w:tc>
          <w:tcPr>
            <w:tcW w:w="1731"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490CF1EA" w14:textId="77777777" w:rsidR="00790150" w:rsidRPr="00033773" w:rsidRDefault="00790150" w:rsidP="00033773"/>
        </w:tc>
        <w:tc>
          <w:tcPr>
            <w:tcW w:w="131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10A98AA8" w14:textId="77777777" w:rsidR="00790150" w:rsidRPr="00033773" w:rsidRDefault="00790150" w:rsidP="00033773"/>
        </w:tc>
        <w:tc>
          <w:tcPr>
            <w:tcW w:w="131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5339110B" w14:textId="77777777" w:rsidR="00790150" w:rsidRPr="00033773" w:rsidRDefault="00790150" w:rsidP="00033773"/>
        </w:tc>
        <w:tc>
          <w:tcPr>
            <w:tcW w:w="1071"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4F4FADCF" w14:textId="77777777" w:rsidR="00790150" w:rsidRPr="00033773" w:rsidRDefault="00790150" w:rsidP="00033773"/>
        </w:tc>
      </w:tr>
      <w:tr w:rsidR="00790150" w:rsidRPr="00033773" w14:paraId="1C0BD5B1" w14:textId="77777777" w:rsidTr="00790150">
        <w:tc>
          <w:tcPr>
            <w:tcW w:w="166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904DE6A" w14:textId="77777777" w:rsidR="00790150" w:rsidRPr="00033773" w:rsidRDefault="00790150" w:rsidP="00033773">
            <w:r w:rsidRPr="00033773">
              <w:t>Limited access to renewable energy</w:t>
            </w:r>
          </w:p>
        </w:tc>
        <w:tc>
          <w:tcPr>
            <w:tcW w:w="132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AD57334" w14:textId="77777777" w:rsidR="00790150" w:rsidRPr="00033773" w:rsidRDefault="00790150" w:rsidP="00033773"/>
        </w:tc>
        <w:tc>
          <w:tcPr>
            <w:tcW w:w="173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9B184E8" w14:textId="046FBC22" w:rsidR="00790150" w:rsidRPr="00033773" w:rsidRDefault="00790150" w:rsidP="00033773">
            <w:r>
              <w:t>Important</w:t>
            </w:r>
          </w:p>
        </w:tc>
        <w:tc>
          <w:tcPr>
            <w:tcW w:w="131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A448B27" w14:textId="77777777" w:rsidR="00790150" w:rsidRPr="00033773" w:rsidRDefault="00790150" w:rsidP="00033773"/>
        </w:tc>
        <w:tc>
          <w:tcPr>
            <w:tcW w:w="131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29B2CF5" w14:textId="77777777" w:rsidR="00790150" w:rsidRPr="00033773" w:rsidRDefault="00790150" w:rsidP="00033773"/>
        </w:tc>
        <w:tc>
          <w:tcPr>
            <w:tcW w:w="107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618B262" w14:textId="77777777" w:rsidR="00790150" w:rsidRPr="00033773" w:rsidRDefault="00790150" w:rsidP="00033773"/>
        </w:tc>
      </w:tr>
      <w:tr w:rsidR="00790150" w:rsidRPr="00033773" w14:paraId="30C41EE1" w14:textId="77777777" w:rsidTr="00790150">
        <w:tc>
          <w:tcPr>
            <w:tcW w:w="1666"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0D11B169" w14:textId="77777777" w:rsidR="00790150" w:rsidRPr="00033773" w:rsidRDefault="00790150" w:rsidP="00033773">
            <w:r w:rsidRPr="00033773">
              <w:t>Income inequality</w:t>
            </w:r>
          </w:p>
        </w:tc>
        <w:tc>
          <w:tcPr>
            <w:tcW w:w="132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7ACFAEE8" w14:textId="77777777" w:rsidR="00790150" w:rsidRPr="00033773" w:rsidRDefault="00790150" w:rsidP="00033773"/>
        </w:tc>
        <w:tc>
          <w:tcPr>
            <w:tcW w:w="1731"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0C75E91B" w14:textId="0EA47CDF" w:rsidR="00790150" w:rsidRPr="00033773" w:rsidRDefault="00790150" w:rsidP="00033773">
            <w:r>
              <w:t>Important</w:t>
            </w:r>
          </w:p>
        </w:tc>
        <w:tc>
          <w:tcPr>
            <w:tcW w:w="131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227C56CD" w14:textId="77777777" w:rsidR="00790150" w:rsidRPr="00033773" w:rsidRDefault="00790150" w:rsidP="00033773"/>
        </w:tc>
        <w:tc>
          <w:tcPr>
            <w:tcW w:w="131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171AAD79" w14:textId="77777777" w:rsidR="00790150" w:rsidRPr="00033773" w:rsidRDefault="00790150" w:rsidP="00033773"/>
        </w:tc>
        <w:tc>
          <w:tcPr>
            <w:tcW w:w="1071"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757DBADE" w14:textId="77777777" w:rsidR="00790150" w:rsidRPr="00033773" w:rsidRDefault="00790150" w:rsidP="00033773"/>
        </w:tc>
      </w:tr>
      <w:tr w:rsidR="00790150" w:rsidRPr="00033773" w14:paraId="0BD31D1F" w14:textId="77777777" w:rsidTr="00790150">
        <w:tc>
          <w:tcPr>
            <w:tcW w:w="166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EE15D80" w14:textId="77777777" w:rsidR="00790150" w:rsidRPr="00033773" w:rsidRDefault="00790150" w:rsidP="00033773">
            <w:r w:rsidRPr="00033773">
              <w:t>Insufficient awareness and education about energy-saving measures and available assistance programs</w:t>
            </w:r>
          </w:p>
        </w:tc>
        <w:tc>
          <w:tcPr>
            <w:tcW w:w="132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6CCE771" w14:textId="1DFC65A2" w:rsidR="00790150" w:rsidRPr="00033773" w:rsidRDefault="00790150" w:rsidP="00033773">
            <w:r>
              <w:t>Very important</w:t>
            </w:r>
          </w:p>
        </w:tc>
        <w:tc>
          <w:tcPr>
            <w:tcW w:w="173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DD7C248" w14:textId="77777777" w:rsidR="00790150" w:rsidRPr="00033773" w:rsidRDefault="00790150" w:rsidP="00033773"/>
        </w:tc>
        <w:tc>
          <w:tcPr>
            <w:tcW w:w="131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944EAAC" w14:textId="77777777" w:rsidR="00790150" w:rsidRPr="00033773" w:rsidRDefault="00790150" w:rsidP="00033773"/>
        </w:tc>
        <w:tc>
          <w:tcPr>
            <w:tcW w:w="131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3EB89E5" w14:textId="77777777" w:rsidR="00790150" w:rsidRPr="00033773" w:rsidRDefault="00790150" w:rsidP="00033773"/>
        </w:tc>
        <w:tc>
          <w:tcPr>
            <w:tcW w:w="107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E1605FD" w14:textId="77777777" w:rsidR="00790150" w:rsidRPr="00033773" w:rsidRDefault="00790150" w:rsidP="00033773"/>
        </w:tc>
      </w:tr>
      <w:tr w:rsidR="00790150" w:rsidRPr="00033773" w14:paraId="271E8EC4" w14:textId="77777777" w:rsidTr="00790150">
        <w:tc>
          <w:tcPr>
            <w:tcW w:w="1666"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3D10F751" w14:textId="77777777" w:rsidR="00790150" w:rsidRPr="00033773" w:rsidRDefault="00790150" w:rsidP="00033773">
            <w:r w:rsidRPr="00033773">
              <w:t>Inadequate financial support schemes</w:t>
            </w:r>
          </w:p>
        </w:tc>
        <w:tc>
          <w:tcPr>
            <w:tcW w:w="132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4EECBC16" w14:textId="7EB06110" w:rsidR="00790150" w:rsidRPr="00033773" w:rsidRDefault="00C21DB6" w:rsidP="00033773">
            <w:r>
              <w:t>Very important</w:t>
            </w:r>
          </w:p>
        </w:tc>
        <w:tc>
          <w:tcPr>
            <w:tcW w:w="1731"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6AF873C7" w14:textId="66991016" w:rsidR="00790150" w:rsidRPr="00033773" w:rsidRDefault="00790150" w:rsidP="00033773"/>
        </w:tc>
        <w:tc>
          <w:tcPr>
            <w:tcW w:w="131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587E86B0" w14:textId="77777777" w:rsidR="00790150" w:rsidRPr="00033773" w:rsidRDefault="00790150" w:rsidP="00033773"/>
        </w:tc>
        <w:tc>
          <w:tcPr>
            <w:tcW w:w="131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0901EF46" w14:textId="77777777" w:rsidR="00790150" w:rsidRPr="00033773" w:rsidRDefault="00790150" w:rsidP="00033773"/>
        </w:tc>
        <w:tc>
          <w:tcPr>
            <w:tcW w:w="1071"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2A450209" w14:textId="77777777" w:rsidR="00790150" w:rsidRPr="00033773" w:rsidRDefault="00790150" w:rsidP="00033773"/>
        </w:tc>
      </w:tr>
      <w:tr w:rsidR="00790150" w:rsidRPr="00033773" w14:paraId="12044336" w14:textId="77777777" w:rsidTr="00790150">
        <w:tc>
          <w:tcPr>
            <w:tcW w:w="166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A57BA10" w14:textId="77777777" w:rsidR="00790150" w:rsidRPr="00033773" w:rsidRDefault="00790150" w:rsidP="00033773">
            <w:r w:rsidRPr="00033773">
              <w:lastRenderedPageBreak/>
              <w:t>Lack of political will</w:t>
            </w:r>
          </w:p>
        </w:tc>
        <w:tc>
          <w:tcPr>
            <w:tcW w:w="132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289CEE0" w14:textId="77777777" w:rsidR="00790150" w:rsidRPr="00033773" w:rsidRDefault="00790150" w:rsidP="00033773"/>
        </w:tc>
        <w:tc>
          <w:tcPr>
            <w:tcW w:w="173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BD26A20" w14:textId="01DAEE74" w:rsidR="00790150" w:rsidRPr="00033773" w:rsidRDefault="00790150" w:rsidP="00033773">
            <w:r>
              <w:t>Important</w:t>
            </w:r>
          </w:p>
        </w:tc>
        <w:tc>
          <w:tcPr>
            <w:tcW w:w="131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23E261E" w14:textId="77777777" w:rsidR="00790150" w:rsidRPr="00033773" w:rsidRDefault="00790150" w:rsidP="00033773"/>
        </w:tc>
        <w:tc>
          <w:tcPr>
            <w:tcW w:w="131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549143A" w14:textId="77777777" w:rsidR="00790150" w:rsidRPr="00033773" w:rsidRDefault="00790150" w:rsidP="00033773"/>
        </w:tc>
        <w:tc>
          <w:tcPr>
            <w:tcW w:w="107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F99F247" w14:textId="77777777" w:rsidR="00790150" w:rsidRPr="00033773" w:rsidRDefault="00790150" w:rsidP="00033773"/>
        </w:tc>
      </w:tr>
      <w:tr w:rsidR="00790150" w:rsidRPr="00033773" w14:paraId="13B72866" w14:textId="77777777" w:rsidTr="00790150">
        <w:tc>
          <w:tcPr>
            <w:tcW w:w="1666"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48932DDB" w14:textId="77777777" w:rsidR="00790150" w:rsidRPr="00033773" w:rsidRDefault="00790150" w:rsidP="00033773">
            <w:r w:rsidRPr="00033773">
              <w:t>Other</w:t>
            </w:r>
          </w:p>
        </w:tc>
        <w:tc>
          <w:tcPr>
            <w:tcW w:w="132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51531016" w14:textId="626850EB" w:rsidR="00790150" w:rsidRPr="00033773" w:rsidRDefault="00790150" w:rsidP="00033773"/>
        </w:tc>
        <w:tc>
          <w:tcPr>
            <w:tcW w:w="1731"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7A9CFA8C" w14:textId="49F96E02" w:rsidR="00790150" w:rsidRPr="00033773" w:rsidRDefault="00C21DB6" w:rsidP="00033773">
            <w:r>
              <w:t>Important</w:t>
            </w:r>
          </w:p>
        </w:tc>
        <w:tc>
          <w:tcPr>
            <w:tcW w:w="131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7344D5E7" w14:textId="77777777" w:rsidR="00790150" w:rsidRPr="00033773" w:rsidRDefault="00790150" w:rsidP="00033773"/>
        </w:tc>
        <w:tc>
          <w:tcPr>
            <w:tcW w:w="131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32CEE14D" w14:textId="77777777" w:rsidR="00790150" w:rsidRPr="00033773" w:rsidRDefault="00790150" w:rsidP="00033773"/>
        </w:tc>
        <w:tc>
          <w:tcPr>
            <w:tcW w:w="1071"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45A60D7B" w14:textId="77777777" w:rsidR="00790150" w:rsidRPr="00033773" w:rsidRDefault="00790150" w:rsidP="00033773"/>
        </w:tc>
      </w:tr>
    </w:tbl>
    <w:p w14:paraId="1FC0FD97" w14:textId="77777777" w:rsidR="008530D6" w:rsidRDefault="008530D6"/>
    <w:p w14:paraId="47AEE487" w14:textId="77777777" w:rsidR="00C21DB6" w:rsidRDefault="0077715B">
      <w:r>
        <w:t>Other:</w:t>
      </w:r>
      <w:r w:rsidR="00937BDA">
        <w:t xml:space="preserve"> </w:t>
      </w:r>
    </w:p>
    <w:p w14:paraId="4E0BA4F9" w14:textId="21BD62FD" w:rsidR="00844C65" w:rsidRDefault="00844C65" w:rsidP="0030665A">
      <w:pPr>
        <w:jc w:val="both"/>
        <w:rPr>
          <w:lang w:val="en-US"/>
        </w:rPr>
      </w:pPr>
      <w:r>
        <w:rPr>
          <w:lang w:val="en-US"/>
        </w:rPr>
        <w:t xml:space="preserve">Regarding high energy prices as a challenge to tackle energy poverty, the Coalition would like to underline that </w:t>
      </w:r>
      <w:r w:rsidRPr="00844C65">
        <w:rPr>
          <w:lang w:val="en-US"/>
        </w:rPr>
        <w:t xml:space="preserve">high energy prices are </w:t>
      </w:r>
      <w:r>
        <w:rPr>
          <w:lang w:val="en-US"/>
        </w:rPr>
        <w:t xml:space="preserve">rather </w:t>
      </w:r>
      <w:r w:rsidRPr="00844C65">
        <w:rPr>
          <w:lang w:val="en-US"/>
        </w:rPr>
        <w:t>a root cause of energy poverty</w:t>
      </w:r>
      <w:r>
        <w:rPr>
          <w:lang w:val="en-US"/>
        </w:rPr>
        <w:t>. However,</w:t>
      </w:r>
      <w:r w:rsidRPr="00844C65">
        <w:rPr>
          <w:lang w:val="en-US"/>
        </w:rPr>
        <w:t xml:space="preserve"> they also highlight </w:t>
      </w:r>
      <w:r>
        <w:rPr>
          <w:lang w:val="en-US"/>
        </w:rPr>
        <w:t xml:space="preserve">the </w:t>
      </w:r>
      <w:r w:rsidRPr="00844C65">
        <w:rPr>
          <w:lang w:val="en-US"/>
        </w:rPr>
        <w:t xml:space="preserve">structural </w:t>
      </w:r>
      <w:r w:rsidR="005B57A6">
        <w:rPr>
          <w:lang w:val="en-US"/>
        </w:rPr>
        <w:t xml:space="preserve">inequalities in </w:t>
      </w:r>
      <w:r w:rsidRPr="00844C65">
        <w:rPr>
          <w:lang w:val="en-US"/>
        </w:rPr>
        <w:t>households</w:t>
      </w:r>
      <w:r w:rsidR="005B57A6">
        <w:rPr>
          <w:lang w:val="en-US"/>
        </w:rPr>
        <w:t xml:space="preserve"> regarding their home</w:t>
      </w:r>
      <w:r w:rsidR="00A52FC9">
        <w:rPr>
          <w:lang w:val="en-US"/>
        </w:rPr>
        <w:t xml:space="preserve"> energy performance</w:t>
      </w:r>
      <w:r>
        <w:rPr>
          <w:lang w:val="en-US"/>
        </w:rPr>
        <w:t xml:space="preserve">, making </w:t>
      </w:r>
      <w:r w:rsidR="005B57A6">
        <w:rPr>
          <w:lang w:val="en-US"/>
        </w:rPr>
        <w:t xml:space="preserve">them </w:t>
      </w:r>
      <w:r>
        <w:rPr>
          <w:lang w:val="en-US"/>
        </w:rPr>
        <w:t>more</w:t>
      </w:r>
      <w:r w:rsidRPr="00844C65">
        <w:rPr>
          <w:lang w:val="en-US"/>
        </w:rPr>
        <w:t xml:space="preserve"> vulnerable </w:t>
      </w:r>
      <w:r>
        <w:rPr>
          <w:lang w:val="en-US"/>
        </w:rPr>
        <w:t>to price variabilities</w:t>
      </w:r>
      <w:r w:rsidRPr="00844C65">
        <w:rPr>
          <w:lang w:val="en-US"/>
        </w:rPr>
        <w:t>.</w:t>
      </w:r>
      <w:r w:rsidR="003871FE">
        <w:rPr>
          <w:lang w:val="en-US"/>
        </w:rPr>
        <w:t xml:space="preserve"> This suggests that special protection through price mechanisms (social tariffs or direct payment) </w:t>
      </w:r>
      <w:r w:rsidR="0072248E">
        <w:rPr>
          <w:lang w:val="en-US"/>
        </w:rPr>
        <w:t xml:space="preserve">should be done </w:t>
      </w:r>
      <w:r w:rsidR="003871FE">
        <w:rPr>
          <w:lang w:val="en-US"/>
        </w:rPr>
        <w:t>in combination with targeted financial support conducive to save energy and better manage their energy consumption.</w:t>
      </w:r>
    </w:p>
    <w:p w14:paraId="5ABBAB5E" w14:textId="30F77AFC" w:rsidR="001A0D63" w:rsidRDefault="00F935E4" w:rsidP="0030665A">
      <w:pPr>
        <w:jc w:val="both"/>
        <w:rPr>
          <w:lang w:val="en-US"/>
        </w:rPr>
      </w:pPr>
      <w:r>
        <w:rPr>
          <w:lang w:val="en-US"/>
        </w:rPr>
        <w:t>E</w:t>
      </w:r>
      <w:r w:rsidR="006266FA" w:rsidRPr="084677C6">
        <w:rPr>
          <w:lang w:val="en-US"/>
        </w:rPr>
        <w:t>nabling</w:t>
      </w:r>
      <w:r w:rsidR="00933D81" w:rsidRPr="084677C6">
        <w:rPr>
          <w:lang w:val="en-US"/>
        </w:rPr>
        <w:t xml:space="preserve"> energy-poor households to use their energy </w:t>
      </w:r>
      <w:r w:rsidR="00D00A40" w:rsidRPr="084677C6">
        <w:rPr>
          <w:lang w:val="en-US"/>
        </w:rPr>
        <w:t>in a</w:t>
      </w:r>
      <w:r w:rsidR="00933D81" w:rsidRPr="084677C6">
        <w:rPr>
          <w:lang w:val="en-US"/>
        </w:rPr>
        <w:t xml:space="preserve"> </w:t>
      </w:r>
      <w:r w:rsidR="008636EF" w:rsidRPr="084677C6">
        <w:rPr>
          <w:lang w:val="en-US"/>
        </w:rPr>
        <w:t>flexibl</w:t>
      </w:r>
      <w:r w:rsidR="00D00A40" w:rsidRPr="084677C6">
        <w:rPr>
          <w:lang w:val="en-US"/>
        </w:rPr>
        <w:t>e manner</w:t>
      </w:r>
      <w:r w:rsidR="00937BDA" w:rsidRPr="084677C6">
        <w:rPr>
          <w:lang w:val="en-US"/>
        </w:rPr>
        <w:t xml:space="preserve"> is </w:t>
      </w:r>
      <w:r w:rsidR="00933D81" w:rsidRPr="084677C6">
        <w:rPr>
          <w:lang w:val="en-US"/>
        </w:rPr>
        <w:t>an</w:t>
      </w:r>
      <w:r w:rsidR="00937BDA" w:rsidRPr="084677C6">
        <w:rPr>
          <w:lang w:val="en-US"/>
        </w:rPr>
        <w:t xml:space="preserve"> important challenge to ensure they are </w:t>
      </w:r>
      <w:r w:rsidR="006266FA" w:rsidRPr="084677C6">
        <w:rPr>
          <w:lang w:val="en-US"/>
        </w:rPr>
        <w:t>regarded and treated</w:t>
      </w:r>
      <w:r w:rsidR="00937BDA" w:rsidRPr="084677C6">
        <w:rPr>
          <w:lang w:val="en-US"/>
        </w:rPr>
        <w:t xml:space="preserve"> as actors </w:t>
      </w:r>
      <w:r w:rsidR="00033E91" w:rsidRPr="084677C6">
        <w:rPr>
          <w:lang w:val="en-US"/>
        </w:rPr>
        <w:t>in the energy transition</w:t>
      </w:r>
      <w:r w:rsidR="0077715B" w:rsidRPr="084677C6">
        <w:rPr>
          <w:lang w:val="en-US"/>
        </w:rPr>
        <w:t xml:space="preserve"> </w:t>
      </w:r>
      <w:r w:rsidR="00033E91" w:rsidRPr="084677C6">
        <w:rPr>
          <w:lang w:val="en-US"/>
        </w:rPr>
        <w:t>and can benefit from it</w:t>
      </w:r>
      <w:r w:rsidR="00933D81" w:rsidRPr="084677C6">
        <w:rPr>
          <w:lang w:val="en-US"/>
        </w:rPr>
        <w:t>.</w:t>
      </w:r>
      <w:r w:rsidR="009C6DCB" w:rsidRPr="084677C6">
        <w:rPr>
          <w:lang w:val="en-US"/>
        </w:rPr>
        <w:t xml:space="preserve"> Improving the thermal insulation of buildings</w:t>
      </w:r>
      <w:r w:rsidR="000704CF" w:rsidRPr="084677C6">
        <w:rPr>
          <w:lang w:val="en-US"/>
        </w:rPr>
        <w:t xml:space="preserve"> and ensuring frequent provision of consumption data</w:t>
      </w:r>
      <w:r w:rsidR="009C6DCB" w:rsidRPr="084677C6">
        <w:rPr>
          <w:lang w:val="en-US"/>
        </w:rPr>
        <w:t xml:space="preserve"> is crucial to</w:t>
      </w:r>
      <w:r w:rsidR="00C90999" w:rsidRPr="084677C6">
        <w:rPr>
          <w:lang w:val="en-US"/>
        </w:rPr>
        <w:t xml:space="preserve"> ensure </w:t>
      </w:r>
      <w:r w:rsidR="009C6DCB" w:rsidRPr="084677C6">
        <w:rPr>
          <w:lang w:val="en-US"/>
        </w:rPr>
        <w:t>energy consumption patterns</w:t>
      </w:r>
      <w:r w:rsidR="00C90999" w:rsidRPr="084677C6">
        <w:rPr>
          <w:lang w:val="en-US"/>
        </w:rPr>
        <w:t xml:space="preserve"> can be shifted, </w:t>
      </w:r>
      <w:r w:rsidR="000704CF" w:rsidRPr="084677C6">
        <w:rPr>
          <w:lang w:val="en-US"/>
        </w:rPr>
        <w:t xml:space="preserve">ensuring the adoption of more efficient habits and </w:t>
      </w:r>
      <w:r w:rsidR="00C90999" w:rsidRPr="084677C6">
        <w:rPr>
          <w:lang w:val="en-US"/>
        </w:rPr>
        <w:t xml:space="preserve">making </w:t>
      </w:r>
      <w:r w:rsidR="00E64C85" w:rsidRPr="084677C6">
        <w:rPr>
          <w:lang w:val="en-US"/>
        </w:rPr>
        <w:t xml:space="preserve">energy-poor </w:t>
      </w:r>
      <w:r w:rsidR="001A0D63">
        <w:rPr>
          <w:lang w:val="en-US"/>
        </w:rPr>
        <w:t>households</w:t>
      </w:r>
      <w:r w:rsidR="00E64C85" w:rsidRPr="084677C6">
        <w:rPr>
          <w:lang w:val="en-US"/>
        </w:rPr>
        <w:t xml:space="preserve"> </w:t>
      </w:r>
      <w:r w:rsidR="00C90999" w:rsidRPr="084677C6">
        <w:rPr>
          <w:lang w:val="en-US"/>
        </w:rPr>
        <w:t>active actors on the grid</w:t>
      </w:r>
      <w:r w:rsidR="009C6DCB" w:rsidRPr="084677C6">
        <w:rPr>
          <w:lang w:val="en-US"/>
        </w:rPr>
        <w:t>.</w:t>
      </w:r>
      <w:r w:rsidR="00933D81" w:rsidRPr="084677C6">
        <w:rPr>
          <w:lang w:val="en-US"/>
        </w:rPr>
        <w:t xml:space="preserve"> </w:t>
      </w:r>
    </w:p>
    <w:p w14:paraId="670516E1" w14:textId="7AB2F920" w:rsidR="0077715B" w:rsidRDefault="009C6DCB" w:rsidP="0030665A">
      <w:pPr>
        <w:jc w:val="both"/>
      </w:pPr>
      <w:r w:rsidRPr="084677C6">
        <w:rPr>
          <w:lang w:val="en-US"/>
        </w:rPr>
        <w:t>Renovating these buildings while integrating</w:t>
      </w:r>
      <w:r w:rsidR="00210B11">
        <w:rPr>
          <w:lang w:val="en-US"/>
        </w:rPr>
        <w:t xml:space="preserve"> and empowering</w:t>
      </w:r>
      <w:r w:rsidR="00D00A40" w:rsidRPr="084677C6">
        <w:rPr>
          <w:lang w:val="en-US"/>
        </w:rPr>
        <w:t xml:space="preserve"> vulnerable households </w:t>
      </w:r>
      <w:r w:rsidRPr="084677C6">
        <w:rPr>
          <w:lang w:val="en-US"/>
        </w:rPr>
        <w:t>(</w:t>
      </w:r>
      <w:r w:rsidR="00CB3A1D" w:rsidRPr="084677C6">
        <w:rPr>
          <w:lang w:val="en-US"/>
        </w:rPr>
        <w:t>who</w:t>
      </w:r>
      <w:r w:rsidR="00EC3430" w:rsidRPr="084677C6">
        <w:rPr>
          <w:lang w:val="en-US"/>
        </w:rPr>
        <w:t xml:space="preserve"> often live in worst-performing </w:t>
      </w:r>
      <w:r w:rsidR="00EE526A" w:rsidRPr="084677C6">
        <w:rPr>
          <w:lang w:val="en-US"/>
        </w:rPr>
        <w:t>buildings</w:t>
      </w:r>
      <w:r w:rsidRPr="084677C6">
        <w:rPr>
          <w:lang w:val="en-US"/>
        </w:rPr>
        <w:t>)</w:t>
      </w:r>
      <w:r w:rsidR="00EC3430" w:rsidRPr="084677C6">
        <w:rPr>
          <w:lang w:val="en-US"/>
        </w:rPr>
        <w:t xml:space="preserve"> </w:t>
      </w:r>
      <w:r w:rsidR="00933D81" w:rsidRPr="084677C6">
        <w:rPr>
          <w:lang w:val="en-US"/>
        </w:rPr>
        <w:t xml:space="preserve">will </w:t>
      </w:r>
      <w:r w:rsidR="00EE526A" w:rsidRPr="084677C6">
        <w:rPr>
          <w:lang w:val="en-US"/>
        </w:rPr>
        <w:t>create an opportunity to reduce</w:t>
      </w:r>
      <w:r w:rsidR="00AE0A36" w:rsidRPr="084677C6">
        <w:rPr>
          <w:lang w:val="en-US"/>
        </w:rPr>
        <w:t xml:space="preserve"> energy demand </w:t>
      </w:r>
      <w:r w:rsidR="00055077" w:rsidRPr="084677C6">
        <w:rPr>
          <w:lang w:val="en-US"/>
        </w:rPr>
        <w:t>during peak times</w:t>
      </w:r>
      <w:r w:rsidR="00A12E4C" w:rsidRPr="084677C6">
        <w:rPr>
          <w:lang w:val="en-US"/>
        </w:rPr>
        <w:t xml:space="preserve">, lowering the total cost of the EU energy system. At the same time, citizens will be rewarded </w:t>
      </w:r>
      <w:r w:rsidR="00AE0AAA" w:rsidRPr="084677C6">
        <w:rPr>
          <w:lang w:val="en-US"/>
        </w:rPr>
        <w:t>when shifting</w:t>
      </w:r>
      <w:r w:rsidR="00210B11">
        <w:rPr>
          <w:lang w:val="en-US"/>
        </w:rPr>
        <w:t xml:space="preserve"> and reducing</w:t>
      </w:r>
      <w:r w:rsidR="00AE0AAA" w:rsidRPr="084677C6">
        <w:rPr>
          <w:lang w:val="en-US"/>
        </w:rPr>
        <w:t xml:space="preserve"> their consumption</w:t>
      </w:r>
      <w:r w:rsidR="00A12E4C" w:rsidRPr="084677C6">
        <w:rPr>
          <w:lang w:val="en-US"/>
        </w:rPr>
        <w:t xml:space="preserve">, </w:t>
      </w:r>
      <w:r w:rsidR="00BF5ACB">
        <w:rPr>
          <w:lang w:val="en-US"/>
        </w:rPr>
        <w:t xml:space="preserve">which can help </w:t>
      </w:r>
      <w:r w:rsidR="00BA6A03" w:rsidRPr="084677C6">
        <w:rPr>
          <w:lang w:val="en-US"/>
        </w:rPr>
        <w:t xml:space="preserve">reducing energy poverty and increasing their involvement </w:t>
      </w:r>
      <w:r w:rsidR="007E1B7E" w:rsidRPr="084677C6">
        <w:rPr>
          <w:lang w:val="en-US"/>
        </w:rPr>
        <w:t>in the energy transition</w:t>
      </w:r>
      <w:r w:rsidR="00AE0AAA" w:rsidRPr="084677C6">
        <w:rPr>
          <w:lang w:val="en-US"/>
        </w:rPr>
        <w:t>.</w:t>
      </w:r>
      <w:r w:rsidR="00AE0A36" w:rsidRPr="084677C6">
        <w:rPr>
          <w:lang w:val="en-US"/>
        </w:rPr>
        <w:t xml:space="preserve"> </w:t>
      </w:r>
    </w:p>
    <w:p w14:paraId="16F00560" w14:textId="77777777" w:rsidR="00FB57FE" w:rsidRDefault="00FB57FE"/>
    <w:p w14:paraId="3B4A3C1D" w14:textId="51935DD6" w:rsidR="003C5FC0" w:rsidRPr="00BE7B4C" w:rsidRDefault="003C5FC0">
      <w:pPr>
        <w:rPr>
          <w:i/>
          <w:iCs/>
        </w:rPr>
      </w:pPr>
      <w:r w:rsidRPr="00BE7B4C">
        <w:rPr>
          <w:i/>
          <w:iCs/>
        </w:rPr>
        <w:t>03. Do you think that, in addition to implementing existing EU legislation, other measures are needed to tackle energy poverty in the EU?</w:t>
      </w:r>
    </w:p>
    <w:p w14:paraId="23C93273" w14:textId="4B9C40D3" w:rsidR="003C5FC0" w:rsidRPr="00BE7B4C" w:rsidRDefault="003C5FC0">
      <w:r w:rsidRPr="00BE7B4C">
        <w:t xml:space="preserve">Yes </w:t>
      </w:r>
    </w:p>
    <w:p w14:paraId="36FDE9A5" w14:textId="1CA2EA54" w:rsidR="003C5FC0" w:rsidRPr="00BE7B4C" w:rsidRDefault="003C5FC0">
      <w:pPr>
        <w:rPr>
          <w:i/>
          <w:iCs/>
        </w:rPr>
      </w:pPr>
      <w:r w:rsidRPr="00BE7B4C">
        <w:rPr>
          <w:i/>
          <w:iCs/>
        </w:rPr>
        <w:t>If yes: Please elaborate on what measures, other than implementing existing EU legislation, are still needed to tackle energy poverty in the EU</w:t>
      </w:r>
    </w:p>
    <w:p w14:paraId="10BE6A36" w14:textId="77777777" w:rsidR="00693889" w:rsidRDefault="7FC8218A" w:rsidP="0030665A">
      <w:pPr>
        <w:jc w:val="both"/>
        <w:rPr>
          <w:lang w:val="en-US"/>
        </w:rPr>
      </w:pPr>
      <w:bookmarkStart w:id="2" w:name="_Hlk204688891"/>
      <w:r w:rsidRPr="7FC8218A">
        <w:rPr>
          <w:lang w:val="en-US"/>
        </w:rPr>
        <w:t>As mentioned previously, the implementation of the existing EU energy efficiency legislative framework is crucial to tackle the growing energy poverty in the EU. However, several additional measures could further facilitate and enable actions to mitigate energy poverty.</w:t>
      </w:r>
    </w:p>
    <w:bookmarkEnd w:id="2"/>
    <w:p w14:paraId="0815EFBD" w14:textId="16C7C566" w:rsidR="00352648" w:rsidRDefault="7FC8218A" w:rsidP="0030665A">
      <w:pPr>
        <w:jc w:val="both"/>
        <w:rPr>
          <w:lang w:val="en-US"/>
        </w:rPr>
      </w:pPr>
      <w:r w:rsidRPr="7FC8218A">
        <w:rPr>
          <w:lang w:val="en-US"/>
        </w:rPr>
        <w:lastRenderedPageBreak/>
        <w:t>First of all, Member States must be supported in targeting the vulnerable groups most affected by energy poverty. In that effort, an EU-level monitoring mechanism is needed, as many countries still use different methodologies</w:t>
      </w:r>
      <w:r w:rsidR="008E0885">
        <w:rPr>
          <w:lang w:val="en-US"/>
        </w:rPr>
        <w:t xml:space="preserve">, </w:t>
      </w:r>
      <w:r w:rsidRPr="7FC8218A">
        <w:rPr>
          <w:lang w:val="en-US"/>
        </w:rPr>
        <w:t>statistics</w:t>
      </w:r>
      <w:r w:rsidR="008E0885">
        <w:rPr>
          <w:lang w:val="en-US"/>
        </w:rPr>
        <w:t xml:space="preserve"> and indicators </w:t>
      </w:r>
      <w:r w:rsidRPr="7FC8218A">
        <w:rPr>
          <w:lang w:val="en-US"/>
        </w:rPr>
        <w:t xml:space="preserve">to measure and therefore </w:t>
      </w:r>
      <w:r w:rsidR="00DB7FD3">
        <w:rPr>
          <w:lang w:val="en-US"/>
        </w:rPr>
        <w:t>design</w:t>
      </w:r>
      <w:r w:rsidR="00DB7FD3" w:rsidRPr="7FC8218A">
        <w:rPr>
          <w:lang w:val="en-US"/>
        </w:rPr>
        <w:t xml:space="preserve"> </w:t>
      </w:r>
      <w:r w:rsidRPr="7FC8218A">
        <w:rPr>
          <w:lang w:val="en-US"/>
        </w:rPr>
        <w:t xml:space="preserve">policies towards energy-poor households. </w:t>
      </w:r>
      <w:r w:rsidR="00780823">
        <w:rPr>
          <w:lang w:val="en-US"/>
        </w:rPr>
        <w:t>While taking</w:t>
      </w:r>
      <w:r w:rsidR="00780823" w:rsidRPr="7FC8218A">
        <w:rPr>
          <w:lang w:val="en-US"/>
        </w:rPr>
        <w:t xml:space="preserve"> into account national circumstances affecting energy poverty, such as different climate zones, </w:t>
      </w:r>
      <w:r w:rsidR="00B86DE8" w:rsidRPr="00981CD8">
        <w:rPr>
          <w:lang w:val="en-US"/>
        </w:rPr>
        <w:t>an</w:t>
      </w:r>
      <w:r w:rsidRPr="00981CD8">
        <w:rPr>
          <w:lang w:val="en-US"/>
        </w:rPr>
        <w:t xml:space="preserve"> EU-level </w:t>
      </w:r>
      <w:r w:rsidR="005C71A7" w:rsidRPr="005315F9">
        <w:rPr>
          <w:lang w:val="en-US"/>
        </w:rPr>
        <w:t xml:space="preserve">monitoring </w:t>
      </w:r>
      <w:r w:rsidRPr="004F0AAC">
        <w:rPr>
          <w:lang w:val="en-US"/>
        </w:rPr>
        <w:t xml:space="preserve">mechanism </w:t>
      </w:r>
      <w:r w:rsidR="00780823" w:rsidRPr="004F0AAC">
        <w:rPr>
          <w:lang w:val="en-US"/>
        </w:rPr>
        <w:t>could</w:t>
      </w:r>
      <w:r w:rsidRPr="004F0AAC">
        <w:rPr>
          <w:lang w:val="en-US"/>
        </w:rPr>
        <w:t xml:space="preserve"> improve the use and ringfencing of EU measures and funds, </w:t>
      </w:r>
      <w:r w:rsidR="00981CD8" w:rsidRPr="00DA13FD">
        <w:rPr>
          <w:lang w:val="en-US"/>
        </w:rPr>
        <w:t>facilitate the</w:t>
      </w:r>
      <w:r w:rsidR="00981CD8" w:rsidRPr="004F0AAC">
        <w:rPr>
          <w:lang w:val="en-US"/>
        </w:rPr>
        <w:t xml:space="preserve"> </w:t>
      </w:r>
      <w:r w:rsidR="00981CD8" w:rsidRPr="00DA13FD">
        <w:rPr>
          <w:lang w:val="en-US"/>
        </w:rPr>
        <w:t>assessment of</w:t>
      </w:r>
      <w:r w:rsidRPr="004F0AAC">
        <w:rPr>
          <w:lang w:val="en-US"/>
        </w:rPr>
        <w:t xml:space="preserve"> impacts and </w:t>
      </w:r>
      <w:r w:rsidR="00386851" w:rsidRPr="00DA13FD">
        <w:rPr>
          <w:lang w:val="en-US"/>
        </w:rPr>
        <w:t xml:space="preserve">help </w:t>
      </w:r>
      <w:r w:rsidRPr="004F0AAC">
        <w:rPr>
          <w:lang w:val="en-US"/>
        </w:rPr>
        <w:t>Member States</w:t>
      </w:r>
      <w:r w:rsidR="004E1199" w:rsidRPr="00DA13FD">
        <w:rPr>
          <w:lang w:val="en-US"/>
        </w:rPr>
        <w:t xml:space="preserve"> </w:t>
      </w:r>
      <w:r w:rsidR="004F0AAC">
        <w:rPr>
          <w:lang w:val="en-US"/>
        </w:rPr>
        <w:t xml:space="preserve">to select </w:t>
      </w:r>
      <w:r w:rsidRPr="004F0AAC">
        <w:rPr>
          <w:lang w:val="en-US"/>
        </w:rPr>
        <w:t>the best typology</w:t>
      </w:r>
      <w:r w:rsidR="004F0AAC">
        <w:rPr>
          <w:lang w:val="en-US"/>
        </w:rPr>
        <w:t xml:space="preserve"> of measures</w:t>
      </w:r>
      <w:r w:rsidRPr="004F0AAC">
        <w:rPr>
          <w:lang w:val="en-US"/>
        </w:rPr>
        <w:t xml:space="preserve"> to mitigate energy poverty.</w:t>
      </w:r>
      <w:r w:rsidRPr="7FC8218A">
        <w:rPr>
          <w:lang w:val="en-US"/>
        </w:rPr>
        <w:t xml:space="preserve"> </w:t>
      </w:r>
    </w:p>
    <w:p w14:paraId="3ED33811" w14:textId="38055E3F" w:rsidR="008B6AD1" w:rsidRDefault="008B6AD1" w:rsidP="008B6AD1">
      <w:r w:rsidRPr="008B6AD1">
        <w:rPr>
          <w:lang w:val="en-US"/>
        </w:rPr>
        <w:t>Municipalities should be s</w:t>
      </w:r>
      <w:r w:rsidRPr="008B6AD1">
        <w:rPr>
          <w:lang w:val="en-GB"/>
        </w:rPr>
        <w:t>upported with resources to engage their communities district by district so they know their options</w:t>
      </w:r>
      <w:r>
        <w:rPr>
          <w:lang w:val="en-GB"/>
        </w:rPr>
        <w:t xml:space="preserve"> to support the most vulnerables</w:t>
      </w:r>
      <w:r w:rsidRPr="008B6AD1">
        <w:rPr>
          <w:lang w:val="en-GB"/>
        </w:rPr>
        <w:t xml:space="preserve"> (RES, energy efficiency measures, energy sharing schemes, energy communities). This is already done successfully by some municipalities for example via energy tours</w:t>
      </w:r>
      <w:r w:rsidR="001A5F2B">
        <w:rPr>
          <w:lang w:val="en-GB"/>
        </w:rPr>
        <w:t xml:space="preserve"> to engage citizens</w:t>
      </w:r>
      <w:r w:rsidRPr="008B6AD1">
        <w:rPr>
          <w:lang w:val="en-GB"/>
        </w:rPr>
        <w:t>, One Stop Shops, energy offices at district level, using national and regional programmes</w:t>
      </w:r>
      <w:r>
        <w:rPr>
          <w:i/>
          <w:iCs/>
          <w:lang w:val="en-GB"/>
        </w:rPr>
        <w:t>.</w:t>
      </w:r>
    </w:p>
    <w:p w14:paraId="08B001F3" w14:textId="2CF9D22C" w:rsidR="0060054F" w:rsidRDefault="0060054F" w:rsidP="0030665A">
      <w:pPr>
        <w:jc w:val="both"/>
      </w:pPr>
      <w:bookmarkStart w:id="3" w:name="_Hlk204691566"/>
      <w:r>
        <w:t>In addition, new measures to address the improvement and decarbonisation of the heating &amp; cooling systems in energy poor households are needed</w:t>
      </w:r>
      <w:r w:rsidR="00C761D5">
        <w:t>,</w:t>
      </w:r>
      <w:r>
        <w:t xml:space="preserve"> </w:t>
      </w:r>
      <w:r w:rsidR="00B838DD">
        <w:t xml:space="preserve">given the costs and potential low return on investment of these solutions. </w:t>
      </w:r>
      <w:r w:rsidR="00BC1840">
        <w:t>Such measures could be presented in th</w:t>
      </w:r>
      <w:r w:rsidR="00E73A71">
        <w:t>e Citizens Energy Package and/or the</w:t>
      </w:r>
      <w:r w:rsidR="00BC1840">
        <w:t xml:space="preserve"> upcoming Heating &amp; Cooling strategy.</w:t>
      </w:r>
    </w:p>
    <w:p w14:paraId="663E118E" w14:textId="13FB761A" w:rsidR="00844C65" w:rsidRDefault="00844C65" w:rsidP="0030665A">
      <w:pPr>
        <w:jc w:val="both"/>
      </w:pPr>
      <w:r>
        <w:t xml:space="preserve">Finally, </w:t>
      </w:r>
      <w:r w:rsidR="00B90BB1">
        <w:t xml:space="preserve">additional EU guidance could </w:t>
      </w:r>
      <w:r w:rsidR="00D12211">
        <w:t xml:space="preserve">facilitate </w:t>
      </w:r>
      <w:r w:rsidR="009617E8">
        <w:t>compre</w:t>
      </w:r>
      <w:r w:rsidR="004F283F">
        <w:t>hensive building renovation</w:t>
      </w:r>
      <w:r w:rsidR="00D12211">
        <w:t>s</w:t>
      </w:r>
      <w:r w:rsidR="004F283F">
        <w:t xml:space="preserve"> </w:t>
      </w:r>
      <w:r w:rsidR="00D12211">
        <w:t xml:space="preserve">that </w:t>
      </w:r>
      <w:r w:rsidR="00B13F03">
        <w:t>tackle</w:t>
      </w:r>
      <w:r w:rsidR="007828D4">
        <w:t xml:space="preserve"> both</w:t>
      </w:r>
      <w:r w:rsidR="004F283F">
        <w:t xml:space="preserve"> the envelope improvements and </w:t>
      </w:r>
      <w:r w:rsidR="00B13F03">
        <w:t xml:space="preserve">the installation of </w:t>
      </w:r>
      <w:r w:rsidR="004F283F">
        <w:t xml:space="preserve">low-temperature and decarbonised heating </w:t>
      </w:r>
      <w:r w:rsidR="00B13F03">
        <w:t>systems</w:t>
      </w:r>
      <w:r w:rsidR="00D12211">
        <w:t xml:space="preserve">, </w:t>
      </w:r>
      <w:r>
        <w:t>especially in energy-poor households residing in the worst-performing buildings. This would maximise system efficiency, reduce the size and cost of required equipment, and ensure buildings are thermally ready to participate in demand-side flexibility.</w:t>
      </w:r>
    </w:p>
    <w:bookmarkEnd w:id="3"/>
    <w:p w14:paraId="17A17349" w14:textId="4866CBCF" w:rsidR="003C5FC0" w:rsidRPr="00BE7B4C" w:rsidRDefault="008530D6">
      <w:pPr>
        <w:rPr>
          <w:i/>
          <w:iCs/>
        </w:rPr>
      </w:pPr>
      <w:r w:rsidRPr="00BE7B4C">
        <w:rPr>
          <w:i/>
          <w:iCs/>
        </w:rPr>
        <w:t>04. Would setting mandatory target(s) help Member States address energy poverty?</w:t>
      </w:r>
    </w:p>
    <w:p w14:paraId="096A5361" w14:textId="0FC5CBC4" w:rsidR="008530D6" w:rsidRPr="00BE7B4C" w:rsidRDefault="008530D6">
      <w:r w:rsidRPr="00BE7B4C">
        <w:t>Yes</w:t>
      </w:r>
    </w:p>
    <w:p w14:paraId="4879B486" w14:textId="41E4F7AA" w:rsidR="008530D6" w:rsidRPr="00BE7B4C" w:rsidRDefault="008530D6">
      <w:pPr>
        <w:rPr>
          <w:i/>
          <w:iCs/>
        </w:rPr>
      </w:pPr>
      <w:r w:rsidRPr="00BE7B4C">
        <w:rPr>
          <w:i/>
          <w:iCs/>
        </w:rPr>
        <w:t>If yes, please elaborate (e.g. on methodology, indicators, timeframe etc)</w:t>
      </w:r>
    </w:p>
    <w:p w14:paraId="3D8F21CA" w14:textId="5260108A" w:rsidR="001E228D" w:rsidRDefault="7FC8218A" w:rsidP="0030665A">
      <w:pPr>
        <w:jc w:val="both"/>
      </w:pPr>
      <w:r w:rsidRPr="7FC8218A">
        <w:rPr>
          <w:lang w:val="en-US"/>
        </w:rPr>
        <w:t xml:space="preserve">The Coalition for Energy Savings believes that setting mandatory targets for Member States to reduce the share of their population in energy poverty would bring attention to the importance of tackling this crucial issue. As for other existing national targets defined at EU level, each Member State’s target should take into account national circumstances and starting points, using commonly agreed and replicable indicators. Namely, the four criteria used to define the energy poverty ringfencing of the Energy Savings Obligation (inability to keep the home adequately warm, the arrears on utility bills, the total population living in a dwelling with a leaking roof, damp walls, floors or foundation, or rot in window frames or floor, and at-risk-of-poverty rate) could be a good basis to define </w:t>
      </w:r>
      <w:r w:rsidRPr="7FC8218A">
        <w:rPr>
          <w:lang w:val="en-US"/>
        </w:rPr>
        <w:lastRenderedPageBreak/>
        <w:t xml:space="preserve">these targets, adding other building specific criteria such as the average Energy Performance Certificate of the country’s building stock. In terms of timeframe for such objectives, they could be synchronised with the timeline of the </w:t>
      </w:r>
      <w:r w:rsidR="00F65D1B">
        <w:rPr>
          <w:lang w:val="en-US"/>
        </w:rPr>
        <w:t>2030</w:t>
      </w:r>
      <w:r w:rsidR="00C753E8">
        <w:rPr>
          <w:lang w:val="en-US"/>
        </w:rPr>
        <w:t xml:space="preserve"> EU energy and climate targets</w:t>
      </w:r>
      <w:r w:rsidR="00F65D1B">
        <w:rPr>
          <w:lang w:val="en-US"/>
        </w:rPr>
        <w:t xml:space="preserve"> </w:t>
      </w:r>
      <w:r w:rsidRPr="7FC8218A">
        <w:rPr>
          <w:lang w:val="en-US"/>
        </w:rPr>
        <w:t>or be defined as a linear year-by-year reduction.</w:t>
      </w:r>
    </w:p>
    <w:p w14:paraId="7EBEA35C" w14:textId="77777777" w:rsidR="001E228D" w:rsidRDefault="001E228D"/>
    <w:p w14:paraId="28844300" w14:textId="3710133C" w:rsidR="001A5F5A" w:rsidRPr="001E228D" w:rsidRDefault="00EE19F7">
      <w:r w:rsidRPr="00EE19F7">
        <w:rPr>
          <w:b/>
          <w:bCs/>
        </w:rPr>
        <w:t>3. On Energy Communities</w:t>
      </w:r>
    </w:p>
    <w:p w14:paraId="0AA52398" w14:textId="77777777" w:rsidR="00EE19F7" w:rsidRDefault="00EE19F7">
      <w:pPr>
        <w:rPr>
          <w:b/>
          <w:bCs/>
        </w:rPr>
      </w:pPr>
    </w:p>
    <w:p w14:paraId="1D085DF6" w14:textId="7FD48DA1" w:rsidR="00EE19F7" w:rsidRDefault="00EE19F7" w:rsidP="00EE19F7">
      <w:r w:rsidRPr="00EE19F7">
        <w:t>How can the Commission support the realisation of the objectives of energy communities?</w:t>
      </w:r>
      <w:r w:rsidRPr="00EE19F7">
        <w:br/>
        <w:t>(Please rate according to importance)</w:t>
      </w:r>
    </w:p>
    <w:tbl>
      <w:tblPr>
        <w:tblW w:w="7815" w:type="dxa"/>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430"/>
        <w:gridCol w:w="1329"/>
        <w:gridCol w:w="1329"/>
        <w:gridCol w:w="1324"/>
        <w:gridCol w:w="1324"/>
        <w:gridCol w:w="1079"/>
      </w:tblGrid>
      <w:tr w:rsidR="00780823" w:rsidRPr="00EE19F7" w14:paraId="639E6E10" w14:textId="77777777" w:rsidTr="00780823">
        <w:tc>
          <w:tcPr>
            <w:tcW w:w="1430"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3325CF28" w14:textId="77777777" w:rsidR="00780823" w:rsidRPr="00EE19F7" w:rsidRDefault="00780823" w:rsidP="00EE19F7">
            <w:r w:rsidRPr="00EE19F7">
              <w:t>Awareness raising</w:t>
            </w:r>
          </w:p>
        </w:tc>
        <w:tc>
          <w:tcPr>
            <w:tcW w:w="1329"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4C88F8B6" w14:textId="7E16F039" w:rsidR="00780823" w:rsidRPr="00EE19F7" w:rsidRDefault="00780823" w:rsidP="00EE19F7">
            <w:r>
              <w:t>Very important</w:t>
            </w:r>
          </w:p>
        </w:tc>
        <w:tc>
          <w:tcPr>
            <w:tcW w:w="1329"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3DBA4D63" w14:textId="77777777" w:rsidR="00780823" w:rsidRPr="00EE19F7" w:rsidRDefault="00780823" w:rsidP="00EE19F7"/>
        </w:tc>
        <w:tc>
          <w:tcPr>
            <w:tcW w:w="132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2F379EB1" w14:textId="77777777" w:rsidR="00780823" w:rsidRPr="00EE19F7" w:rsidRDefault="00780823" w:rsidP="00EE19F7"/>
        </w:tc>
        <w:tc>
          <w:tcPr>
            <w:tcW w:w="132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03CFA9F9" w14:textId="77777777" w:rsidR="00780823" w:rsidRPr="00EE19F7" w:rsidRDefault="00780823" w:rsidP="00EE19F7"/>
        </w:tc>
        <w:tc>
          <w:tcPr>
            <w:tcW w:w="1079"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50B85560" w14:textId="77777777" w:rsidR="00780823" w:rsidRPr="00EE19F7" w:rsidRDefault="00780823" w:rsidP="00EE19F7"/>
        </w:tc>
      </w:tr>
      <w:tr w:rsidR="00780823" w:rsidRPr="00EE19F7" w14:paraId="3A104AA1" w14:textId="77777777" w:rsidTr="00780823">
        <w:tc>
          <w:tcPr>
            <w:tcW w:w="143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FF13B58" w14:textId="77777777" w:rsidR="00780823" w:rsidRPr="00EE19F7" w:rsidRDefault="00780823" w:rsidP="00EE19F7">
            <w:r w:rsidRPr="00EE19F7">
              <w:t>Legislation</w:t>
            </w:r>
          </w:p>
        </w:tc>
        <w:tc>
          <w:tcPr>
            <w:tcW w:w="1329"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47E8F82" w14:textId="77777777" w:rsidR="00780823" w:rsidRPr="00EE19F7" w:rsidRDefault="00780823" w:rsidP="00EE19F7"/>
        </w:tc>
        <w:tc>
          <w:tcPr>
            <w:tcW w:w="1329"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65467B0" w14:textId="0938ECF0" w:rsidR="00780823" w:rsidRPr="00EE19F7" w:rsidRDefault="00780823" w:rsidP="00EE19F7">
            <w:r>
              <w:t>Important</w:t>
            </w:r>
          </w:p>
        </w:tc>
        <w:tc>
          <w:tcPr>
            <w:tcW w:w="132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F1A8F58" w14:textId="77777777" w:rsidR="00780823" w:rsidRPr="00EE19F7" w:rsidRDefault="00780823" w:rsidP="00EE19F7"/>
        </w:tc>
        <w:tc>
          <w:tcPr>
            <w:tcW w:w="132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8FA1CF4" w14:textId="77777777" w:rsidR="00780823" w:rsidRPr="00EE19F7" w:rsidRDefault="00780823" w:rsidP="00EE19F7"/>
        </w:tc>
        <w:tc>
          <w:tcPr>
            <w:tcW w:w="1079"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E358B64" w14:textId="77777777" w:rsidR="00780823" w:rsidRPr="00EE19F7" w:rsidRDefault="00780823" w:rsidP="00EE19F7"/>
        </w:tc>
      </w:tr>
      <w:tr w:rsidR="00780823" w:rsidRPr="00EE19F7" w14:paraId="35DCFC4D" w14:textId="77777777" w:rsidTr="00780823">
        <w:tc>
          <w:tcPr>
            <w:tcW w:w="1430"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1E0BE612" w14:textId="77777777" w:rsidR="00780823" w:rsidRPr="00EE19F7" w:rsidRDefault="00780823" w:rsidP="00EE19F7">
            <w:r w:rsidRPr="00EE19F7">
              <w:t>Capacity building support</w:t>
            </w:r>
          </w:p>
        </w:tc>
        <w:tc>
          <w:tcPr>
            <w:tcW w:w="1329"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49860360" w14:textId="4C5D5D20" w:rsidR="00780823" w:rsidRPr="00EE19F7" w:rsidRDefault="00780823" w:rsidP="00EE19F7">
            <w:r>
              <w:t>Very important</w:t>
            </w:r>
          </w:p>
        </w:tc>
        <w:tc>
          <w:tcPr>
            <w:tcW w:w="1329"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353C549D" w14:textId="77777777" w:rsidR="00780823" w:rsidRPr="00EE19F7" w:rsidRDefault="00780823" w:rsidP="00EE19F7"/>
        </w:tc>
        <w:tc>
          <w:tcPr>
            <w:tcW w:w="132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6686E399" w14:textId="77777777" w:rsidR="00780823" w:rsidRPr="00EE19F7" w:rsidRDefault="00780823" w:rsidP="00EE19F7"/>
        </w:tc>
        <w:tc>
          <w:tcPr>
            <w:tcW w:w="132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5FD6593E" w14:textId="77777777" w:rsidR="00780823" w:rsidRPr="00EE19F7" w:rsidRDefault="00780823" w:rsidP="00EE19F7"/>
        </w:tc>
        <w:tc>
          <w:tcPr>
            <w:tcW w:w="1079"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3D2A989C" w14:textId="77777777" w:rsidR="00780823" w:rsidRPr="00EE19F7" w:rsidRDefault="00780823" w:rsidP="00EE19F7"/>
        </w:tc>
      </w:tr>
      <w:tr w:rsidR="00780823" w:rsidRPr="00EE19F7" w14:paraId="291E548B" w14:textId="77777777" w:rsidTr="00780823">
        <w:tc>
          <w:tcPr>
            <w:tcW w:w="143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9C7E6F8" w14:textId="77777777" w:rsidR="00780823" w:rsidRPr="00EE19F7" w:rsidRDefault="00780823" w:rsidP="00EE19F7">
            <w:r w:rsidRPr="00EE19F7">
              <w:t>Funding</w:t>
            </w:r>
          </w:p>
        </w:tc>
        <w:tc>
          <w:tcPr>
            <w:tcW w:w="1329"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4F49F80" w14:textId="78F98A99" w:rsidR="00780823" w:rsidRPr="00EE19F7" w:rsidRDefault="00780823" w:rsidP="00EE19F7">
            <w:r>
              <w:t>Very important</w:t>
            </w:r>
          </w:p>
        </w:tc>
        <w:tc>
          <w:tcPr>
            <w:tcW w:w="1329"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7979817" w14:textId="77777777" w:rsidR="00780823" w:rsidRPr="00EE19F7" w:rsidRDefault="00780823" w:rsidP="00EE19F7"/>
        </w:tc>
        <w:tc>
          <w:tcPr>
            <w:tcW w:w="132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DB272BC" w14:textId="77777777" w:rsidR="00780823" w:rsidRPr="00EE19F7" w:rsidRDefault="00780823" w:rsidP="00EE19F7"/>
        </w:tc>
        <w:tc>
          <w:tcPr>
            <w:tcW w:w="132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1E881F8" w14:textId="77777777" w:rsidR="00780823" w:rsidRPr="00EE19F7" w:rsidRDefault="00780823" w:rsidP="00EE19F7"/>
        </w:tc>
        <w:tc>
          <w:tcPr>
            <w:tcW w:w="1079"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FCEE19B" w14:textId="77777777" w:rsidR="00780823" w:rsidRPr="00EE19F7" w:rsidRDefault="00780823" w:rsidP="00EE19F7"/>
        </w:tc>
      </w:tr>
      <w:tr w:rsidR="00780823" w:rsidRPr="00EE19F7" w14:paraId="4FB68AEB" w14:textId="77777777" w:rsidTr="00780823">
        <w:tc>
          <w:tcPr>
            <w:tcW w:w="1430"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0B9E2A19" w14:textId="77777777" w:rsidR="00780823" w:rsidRPr="00EE19F7" w:rsidRDefault="00780823" w:rsidP="00EE19F7">
            <w:r w:rsidRPr="00EE19F7">
              <w:t>Other</w:t>
            </w:r>
          </w:p>
        </w:tc>
        <w:tc>
          <w:tcPr>
            <w:tcW w:w="1329"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4DC1AD24" w14:textId="77777777" w:rsidR="00780823" w:rsidRPr="00EE19F7" w:rsidRDefault="00780823" w:rsidP="00EE19F7"/>
        </w:tc>
        <w:tc>
          <w:tcPr>
            <w:tcW w:w="1329"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1A1C106D" w14:textId="77777777" w:rsidR="00780823" w:rsidRPr="00EE19F7" w:rsidRDefault="00780823" w:rsidP="00EE19F7"/>
        </w:tc>
        <w:tc>
          <w:tcPr>
            <w:tcW w:w="132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41AEF0FA" w14:textId="77777777" w:rsidR="00780823" w:rsidRPr="00EE19F7" w:rsidRDefault="00780823" w:rsidP="00EE19F7"/>
        </w:tc>
        <w:tc>
          <w:tcPr>
            <w:tcW w:w="1324"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6F5F7651" w14:textId="77777777" w:rsidR="00780823" w:rsidRPr="00EE19F7" w:rsidRDefault="00780823" w:rsidP="00EE19F7"/>
        </w:tc>
        <w:tc>
          <w:tcPr>
            <w:tcW w:w="1079" w:type="dxa"/>
            <w:tcBorders>
              <w:top w:val="single" w:sz="6" w:space="0" w:color="BBBBBB"/>
              <w:left w:val="single" w:sz="6" w:space="0" w:color="BBBBBB"/>
              <w:bottom w:val="single" w:sz="6" w:space="0" w:color="BBBBBB"/>
              <w:right w:val="single" w:sz="6" w:space="0" w:color="BBBBBB"/>
            </w:tcBorders>
            <w:shd w:val="clear" w:color="auto" w:fill="FFFFFF" w:themeFill="background1"/>
            <w:tcMar>
              <w:top w:w="75" w:type="dxa"/>
              <w:left w:w="150" w:type="dxa"/>
              <w:bottom w:w="75" w:type="dxa"/>
              <w:right w:w="150" w:type="dxa"/>
            </w:tcMar>
            <w:vAlign w:val="center"/>
            <w:hideMark/>
          </w:tcPr>
          <w:p w14:paraId="3C4AF6EA" w14:textId="77777777" w:rsidR="00780823" w:rsidRPr="00EE19F7" w:rsidRDefault="00780823" w:rsidP="00EE19F7"/>
        </w:tc>
      </w:tr>
    </w:tbl>
    <w:p w14:paraId="1ED8D79E" w14:textId="77777777" w:rsidR="00EE19F7" w:rsidRDefault="00EE19F7" w:rsidP="00EE19F7"/>
    <w:p w14:paraId="11DBE14B" w14:textId="0C5E5034" w:rsidR="00EE19F7" w:rsidRDefault="00674268" w:rsidP="00EE19F7">
      <w:r w:rsidRPr="00674268">
        <w:t>For 'Other', please specify:</w:t>
      </w:r>
    </w:p>
    <w:p w14:paraId="735FC24A" w14:textId="77777777" w:rsidR="00964862" w:rsidRDefault="008D31AD" w:rsidP="0030665A">
      <w:pPr>
        <w:jc w:val="both"/>
      </w:pPr>
      <w:r>
        <w:t xml:space="preserve">Recommendation 9 of the </w:t>
      </w:r>
      <w:r w:rsidRPr="000A199F">
        <w:t xml:space="preserve">European Citizens’ Panel on Energy Efficiency </w:t>
      </w:r>
      <w:r>
        <w:t>highlighted that more information and financial support are needed to help EU citizens develop energy communities based on energy efficiency</w:t>
      </w:r>
      <w:r w:rsidR="00964862">
        <w:t>.</w:t>
      </w:r>
    </w:p>
    <w:p w14:paraId="28077BEF" w14:textId="0E2411D4" w:rsidR="00283B66" w:rsidRDefault="00E62684" w:rsidP="00EF27EE">
      <w:r>
        <w:t>Firs</w:t>
      </w:r>
      <w:r w:rsidR="001E7767">
        <w:t>t of all, t</w:t>
      </w:r>
      <w:r>
        <w:t xml:space="preserve">he Commission should support the enforcement of the </w:t>
      </w:r>
      <w:r w:rsidRPr="00E62684">
        <w:t>existing EU legislati</w:t>
      </w:r>
      <w:r w:rsidR="00770D39">
        <w:t>ve framework</w:t>
      </w:r>
      <w:r w:rsidRPr="00E62684">
        <w:t xml:space="preserve"> on energy communities</w:t>
      </w:r>
      <w:r w:rsidR="00283B66">
        <w:t xml:space="preserve">, as some </w:t>
      </w:r>
      <w:r w:rsidRPr="00E62684">
        <w:t xml:space="preserve">Member States still struggle </w:t>
      </w:r>
      <w:r w:rsidR="00F70230">
        <w:t xml:space="preserve">to accurately implement </w:t>
      </w:r>
      <w:r w:rsidR="00770D39">
        <w:t>it</w:t>
      </w:r>
      <w:r w:rsidR="00276DE7">
        <w:t>. This</w:t>
      </w:r>
      <w:r w:rsidR="00283B66">
        <w:t xml:space="preserve"> can lead</w:t>
      </w:r>
      <w:r w:rsidRPr="00E62684">
        <w:t xml:space="preserve"> to corporate capture, </w:t>
      </w:r>
      <w:r w:rsidR="00283B66">
        <w:t>misuse</w:t>
      </w:r>
      <w:r w:rsidRPr="00E62684">
        <w:t xml:space="preserve"> of public funds, or a lack of an enabling framework. </w:t>
      </w:r>
      <w:r w:rsidR="00283B66">
        <w:t>The Commission could e</w:t>
      </w:r>
      <w:r w:rsidRPr="00E62684">
        <w:t>stablish a</w:t>
      </w:r>
      <w:r w:rsidR="00283B66">
        <w:t xml:space="preserve"> platform to share knowledge and expertise between different levels of government </w:t>
      </w:r>
      <w:r w:rsidRPr="00E62684">
        <w:t xml:space="preserve">and federations of energy communities </w:t>
      </w:r>
      <w:r w:rsidR="00283B66">
        <w:t>to support</w:t>
      </w:r>
      <w:r w:rsidRPr="00E62684">
        <w:t xml:space="preserve"> national authorities in their implementation </w:t>
      </w:r>
      <w:r w:rsidR="00283B66">
        <w:t>efforts</w:t>
      </w:r>
      <w:r w:rsidRPr="00E62684">
        <w:t>.</w:t>
      </w:r>
    </w:p>
    <w:p w14:paraId="6EB4FC46" w14:textId="745C7954" w:rsidR="00EF27EE" w:rsidRDefault="00964862" w:rsidP="00EF27EE">
      <w:r>
        <w:t>The Commission should also support integrated guidance and funding models that enable energy communities to combine renewable generation with neighbourhood-</w:t>
      </w:r>
      <w:r>
        <w:lastRenderedPageBreak/>
        <w:t>scale demand reduction measures — such as insulation or heating system upgrades — particularly in multi-family buildings. This would enhance both the technical viability and social equity of energy communities, especially in energy-poor districts.</w:t>
      </w:r>
      <w:r w:rsidR="00140362">
        <w:t xml:space="preserve"> </w:t>
      </w:r>
      <w:r>
        <w:t xml:space="preserve">Reducing energy demand within energy communities is essential </w:t>
      </w:r>
      <w:r w:rsidR="00AE014A">
        <w:t>to make</w:t>
      </w:r>
      <w:r>
        <w:t xml:space="preserve"> shared renewable generation and flexibility financially viable</w:t>
      </w:r>
      <w:r w:rsidR="00EF27EE">
        <w:t xml:space="preserve">. </w:t>
      </w:r>
    </w:p>
    <w:p w14:paraId="45CC67CC" w14:textId="1F4FD67F" w:rsidR="00F91312" w:rsidRDefault="008D3FD1" w:rsidP="00EF27EE">
      <w:r>
        <w:t>M</w:t>
      </w:r>
      <w:r w:rsidR="009122E7">
        <w:t xml:space="preserve">any energy communities </w:t>
      </w:r>
      <w:r w:rsidR="00F074BA">
        <w:t>are facing</w:t>
      </w:r>
      <w:r w:rsidR="009122E7">
        <w:t xml:space="preserve"> barrier</w:t>
      </w:r>
      <w:r w:rsidR="00F074BA">
        <w:t>s</w:t>
      </w:r>
      <w:r w:rsidR="009122E7">
        <w:t xml:space="preserve"> </w:t>
      </w:r>
      <w:r w:rsidR="00F074BA">
        <w:t xml:space="preserve">to </w:t>
      </w:r>
      <w:r w:rsidR="001A69D6">
        <w:t>accessing</w:t>
      </w:r>
      <w:r w:rsidR="00F074BA">
        <w:t xml:space="preserve"> </w:t>
      </w:r>
      <w:r w:rsidR="009122E7">
        <w:t xml:space="preserve">banks and </w:t>
      </w:r>
      <w:r w:rsidR="00F074BA">
        <w:t>receiving</w:t>
      </w:r>
      <w:r w:rsidR="009122E7">
        <w:t xml:space="preserve"> loans. </w:t>
      </w:r>
      <w:r w:rsidR="00F074BA">
        <w:t>Raising</w:t>
      </w:r>
      <w:r w:rsidR="00270E38">
        <w:t xml:space="preserve"> awareness in the banking sector </w:t>
      </w:r>
      <w:r w:rsidR="006F2EE0">
        <w:t xml:space="preserve">about </w:t>
      </w:r>
      <w:r w:rsidR="00D701AB">
        <w:t xml:space="preserve">the structure and role of </w:t>
      </w:r>
      <w:r w:rsidR="006F2EE0">
        <w:t xml:space="preserve">energy communities </w:t>
      </w:r>
      <w:r w:rsidR="00D701AB">
        <w:t>is needed to</w:t>
      </w:r>
      <w:r w:rsidR="006F2EE0">
        <w:t xml:space="preserve"> increase the trust and reliability of these projects.</w:t>
      </w:r>
      <w:r w:rsidR="005858D1">
        <w:t xml:space="preserve"> </w:t>
      </w:r>
      <w:r w:rsidR="008B0CA2">
        <w:t>D</w:t>
      </w:r>
      <w:r w:rsidR="005858D1" w:rsidRPr="005858D1">
        <w:t xml:space="preserve">edicated reforms </w:t>
      </w:r>
      <w:r w:rsidR="00D701AB">
        <w:t xml:space="preserve">would </w:t>
      </w:r>
      <w:r w:rsidR="00025DCC">
        <w:t>allow</w:t>
      </w:r>
      <w:r w:rsidR="00D701AB">
        <w:t xml:space="preserve"> </w:t>
      </w:r>
      <w:r w:rsidR="00663358">
        <w:t>for</w:t>
      </w:r>
      <w:r w:rsidR="005858D1" w:rsidRPr="005858D1">
        <w:t xml:space="preserve"> further implement</w:t>
      </w:r>
      <w:r w:rsidR="00663358">
        <w:t>ation of</w:t>
      </w:r>
      <w:r w:rsidR="005858D1" w:rsidRPr="005858D1">
        <w:t xml:space="preserve"> an enabling framework for energy communities</w:t>
      </w:r>
      <w:r w:rsidR="005858D1">
        <w:t xml:space="preserve">, </w:t>
      </w:r>
      <w:r w:rsidR="00D701AB">
        <w:t>such as through</w:t>
      </w:r>
      <w:r w:rsidR="005858D1">
        <w:t xml:space="preserve"> simplif</w:t>
      </w:r>
      <w:r w:rsidR="00D701AB">
        <w:t>ied</w:t>
      </w:r>
      <w:r w:rsidR="005858D1">
        <w:t xml:space="preserve"> </w:t>
      </w:r>
      <w:r w:rsidR="005858D1" w:rsidRPr="005858D1">
        <w:t>permitting</w:t>
      </w:r>
      <w:r w:rsidR="005858D1">
        <w:t xml:space="preserve"> and facilitate</w:t>
      </w:r>
      <w:r w:rsidR="00D701AB">
        <w:t>d</w:t>
      </w:r>
      <w:r w:rsidR="005858D1">
        <w:t xml:space="preserve"> </w:t>
      </w:r>
      <w:r w:rsidR="005858D1" w:rsidRPr="005858D1">
        <w:t>public procurement</w:t>
      </w:r>
      <w:r w:rsidR="005858D1">
        <w:t xml:space="preserve"> rules</w:t>
      </w:r>
      <w:r w:rsidR="005858D1" w:rsidRPr="005858D1">
        <w:t xml:space="preserve">. </w:t>
      </w:r>
    </w:p>
    <w:p w14:paraId="1CFD7F12" w14:textId="0E4BB6F8" w:rsidR="00140362" w:rsidRPr="005B092F" w:rsidRDefault="00140362" w:rsidP="00964862">
      <w:pPr>
        <w:jc w:val="both"/>
      </w:pPr>
      <w:r>
        <w:t xml:space="preserve">Reaching all these objectives would be </w:t>
      </w:r>
      <w:r w:rsidR="002C3150">
        <w:t>simplified</w:t>
      </w:r>
      <w:r>
        <w:t xml:space="preserve"> if</w:t>
      </w:r>
      <w:r w:rsidR="00C97594">
        <w:t xml:space="preserve"> energy communities</w:t>
      </w:r>
      <w:r>
        <w:t xml:space="preserve"> could benefit from </w:t>
      </w:r>
      <w:r w:rsidR="008B0CA2">
        <w:t>OSS</w:t>
      </w:r>
      <w:r w:rsidR="002C3150">
        <w:t xml:space="preserve"> support</w:t>
      </w:r>
      <w:r>
        <w:t xml:space="preserve">. Such OSSs already </w:t>
      </w:r>
      <w:r w:rsidR="00C97594">
        <w:t>exist</w:t>
      </w:r>
      <w:r>
        <w:t xml:space="preserve"> in some regions of </w:t>
      </w:r>
      <w:r w:rsidR="00276DE7">
        <w:t>Europe but</w:t>
      </w:r>
      <w:r>
        <w:t xml:space="preserve"> should be further supported. Having OSSs that offer technical, legal, financial, and administrative services for free is a key enabling factor for </w:t>
      </w:r>
      <w:r w:rsidR="002C3150">
        <w:t>e</w:t>
      </w:r>
      <w:r w:rsidR="00C97594">
        <w:t>nergy communities</w:t>
      </w:r>
      <w:r>
        <w:t xml:space="preserve">. </w:t>
      </w:r>
    </w:p>
    <w:p w14:paraId="1E6995C9" w14:textId="77777777" w:rsidR="00674268" w:rsidRPr="00674268" w:rsidRDefault="00674268" w:rsidP="0030665A">
      <w:pPr>
        <w:jc w:val="both"/>
      </w:pPr>
      <w:r w:rsidRPr="00674268">
        <w:t>2. Would you find it useful if the Commission provides guidance to the EU Member States on the following:</w:t>
      </w:r>
      <w:r w:rsidRPr="00674268">
        <w:br/>
      </w:r>
    </w:p>
    <w:p w14:paraId="53A408C6" w14:textId="77777777" w:rsidR="00674268" w:rsidRPr="00674268" w:rsidRDefault="00674268" w:rsidP="0030665A">
      <w:pPr>
        <w:jc w:val="both"/>
        <w:rPr>
          <w:i/>
          <w:iCs/>
        </w:rPr>
      </w:pPr>
      <w:r w:rsidRPr="00674268">
        <w:rPr>
          <w:i/>
          <w:iCs/>
        </w:rPr>
        <w:t>Maximum 6 selection(s)</w:t>
      </w:r>
    </w:p>
    <w:tbl>
      <w:tblPr>
        <w:tblW w:w="0" w:type="auto"/>
        <w:tblCellMar>
          <w:top w:w="15" w:type="dxa"/>
          <w:left w:w="15" w:type="dxa"/>
          <w:bottom w:w="15" w:type="dxa"/>
          <w:right w:w="15" w:type="dxa"/>
        </w:tblCellMar>
        <w:tblLook w:val="04A0" w:firstRow="1" w:lastRow="0" w:firstColumn="1" w:lastColumn="0" w:noHBand="0" w:noVBand="1"/>
      </w:tblPr>
      <w:tblGrid>
        <w:gridCol w:w="6"/>
        <w:gridCol w:w="9020"/>
      </w:tblGrid>
      <w:tr w:rsidR="007F1C3D" w:rsidRPr="00674268" w14:paraId="51F51F2D" w14:textId="77777777" w:rsidTr="00674268">
        <w:tc>
          <w:tcPr>
            <w:tcW w:w="0" w:type="auto"/>
            <w:tcMar>
              <w:top w:w="0" w:type="dxa"/>
              <w:left w:w="0" w:type="dxa"/>
              <w:bottom w:w="0" w:type="dxa"/>
              <w:right w:w="0" w:type="dxa"/>
            </w:tcMar>
            <w:hideMark/>
          </w:tcPr>
          <w:p w14:paraId="56F17C14" w14:textId="77777777" w:rsidR="00674268" w:rsidRPr="00674268" w:rsidRDefault="00674268" w:rsidP="0030665A">
            <w:pPr>
              <w:jc w:val="both"/>
              <w:rPr>
                <w:i/>
                <w:iCs/>
              </w:rPr>
            </w:pPr>
          </w:p>
        </w:tc>
        <w:tc>
          <w:tcPr>
            <w:tcW w:w="0" w:type="auto"/>
            <w:tcMar>
              <w:top w:w="0" w:type="dxa"/>
              <w:left w:w="0" w:type="dxa"/>
              <w:bottom w:w="0" w:type="dxa"/>
              <w:right w:w="150" w:type="dxa"/>
            </w:tcMar>
            <w:hideMark/>
          </w:tcPr>
          <w:p w14:paraId="5CF22EAA" w14:textId="77777777" w:rsidR="00674268" w:rsidRPr="00674268" w:rsidRDefault="00674268" w:rsidP="0030665A">
            <w:pPr>
              <w:jc w:val="both"/>
            </w:pPr>
            <w:r w:rsidRPr="00674268">
              <w:t>Permitting and licensing</w:t>
            </w:r>
          </w:p>
        </w:tc>
      </w:tr>
      <w:tr w:rsidR="007F1C3D" w:rsidRPr="00674268" w14:paraId="6CCFFDE0" w14:textId="77777777" w:rsidTr="00674268">
        <w:tc>
          <w:tcPr>
            <w:tcW w:w="0" w:type="auto"/>
            <w:tcMar>
              <w:top w:w="0" w:type="dxa"/>
              <w:left w:w="0" w:type="dxa"/>
              <w:bottom w:w="0" w:type="dxa"/>
              <w:right w:w="0" w:type="dxa"/>
            </w:tcMar>
            <w:hideMark/>
          </w:tcPr>
          <w:p w14:paraId="43B9DF02" w14:textId="77777777" w:rsidR="00674268" w:rsidRPr="00674268" w:rsidRDefault="00674268" w:rsidP="0030665A">
            <w:pPr>
              <w:jc w:val="both"/>
            </w:pPr>
          </w:p>
        </w:tc>
        <w:tc>
          <w:tcPr>
            <w:tcW w:w="0" w:type="auto"/>
            <w:tcMar>
              <w:top w:w="0" w:type="dxa"/>
              <w:left w:w="0" w:type="dxa"/>
              <w:bottom w:w="0" w:type="dxa"/>
              <w:right w:w="150" w:type="dxa"/>
            </w:tcMar>
            <w:hideMark/>
          </w:tcPr>
          <w:p w14:paraId="55358778" w14:textId="77777777" w:rsidR="00774959" w:rsidRDefault="007C672A" w:rsidP="0030665A">
            <w:pPr>
              <w:jc w:val="both"/>
            </w:pPr>
            <w:r>
              <w:t>Tick yes</w:t>
            </w:r>
          </w:p>
          <w:p w14:paraId="2A6B2DFD" w14:textId="2C47AFF1" w:rsidR="00674268" w:rsidRPr="00674268" w:rsidRDefault="00674268" w:rsidP="0030665A">
            <w:pPr>
              <w:jc w:val="both"/>
            </w:pPr>
            <w:r w:rsidRPr="00674268">
              <w:t>Access to financing and information</w:t>
            </w:r>
          </w:p>
        </w:tc>
      </w:tr>
      <w:tr w:rsidR="007F1C3D" w:rsidRPr="00674268" w14:paraId="5B7F5634" w14:textId="77777777" w:rsidTr="00674268">
        <w:tc>
          <w:tcPr>
            <w:tcW w:w="0" w:type="auto"/>
            <w:tcMar>
              <w:top w:w="0" w:type="dxa"/>
              <w:left w:w="0" w:type="dxa"/>
              <w:bottom w:w="0" w:type="dxa"/>
              <w:right w:w="0" w:type="dxa"/>
            </w:tcMar>
            <w:hideMark/>
          </w:tcPr>
          <w:p w14:paraId="024B78B5" w14:textId="77777777" w:rsidR="00674268" w:rsidRPr="00674268" w:rsidRDefault="00674268" w:rsidP="0030665A">
            <w:pPr>
              <w:jc w:val="both"/>
            </w:pPr>
          </w:p>
        </w:tc>
        <w:tc>
          <w:tcPr>
            <w:tcW w:w="0" w:type="auto"/>
            <w:tcMar>
              <w:top w:w="0" w:type="dxa"/>
              <w:left w:w="0" w:type="dxa"/>
              <w:bottom w:w="0" w:type="dxa"/>
              <w:right w:w="150" w:type="dxa"/>
            </w:tcMar>
            <w:hideMark/>
          </w:tcPr>
          <w:p w14:paraId="246274D3" w14:textId="019AE08D" w:rsidR="00674268" w:rsidRPr="00674268" w:rsidRDefault="00F41405" w:rsidP="0030665A">
            <w:pPr>
              <w:jc w:val="both"/>
            </w:pPr>
            <w:r>
              <w:t>Tick yes</w:t>
            </w:r>
          </w:p>
          <w:p w14:paraId="7028778D" w14:textId="77777777" w:rsidR="00674268" w:rsidRPr="00674268" w:rsidRDefault="00674268" w:rsidP="0030665A">
            <w:pPr>
              <w:jc w:val="both"/>
            </w:pPr>
            <w:r w:rsidRPr="00674268">
              <w:t>Access to markets</w:t>
            </w:r>
          </w:p>
        </w:tc>
      </w:tr>
      <w:tr w:rsidR="007F1C3D" w:rsidRPr="00674268" w14:paraId="6778CB0F" w14:textId="77777777" w:rsidTr="00674268">
        <w:tc>
          <w:tcPr>
            <w:tcW w:w="0" w:type="auto"/>
            <w:tcMar>
              <w:top w:w="0" w:type="dxa"/>
              <w:left w:w="0" w:type="dxa"/>
              <w:bottom w:w="0" w:type="dxa"/>
              <w:right w:w="0" w:type="dxa"/>
            </w:tcMar>
            <w:hideMark/>
          </w:tcPr>
          <w:p w14:paraId="3F1AFE01" w14:textId="77777777" w:rsidR="00674268" w:rsidRPr="00674268" w:rsidRDefault="00674268" w:rsidP="0030665A">
            <w:pPr>
              <w:jc w:val="both"/>
            </w:pPr>
          </w:p>
        </w:tc>
        <w:tc>
          <w:tcPr>
            <w:tcW w:w="0" w:type="auto"/>
            <w:tcMar>
              <w:top w:w="0" w:type="dxa"/>
              <w:left w:w="0" w:type="dxa"/>
              <w:bottom w:w="0" w:type="dxa"/>
              <w:right w:w="150" w:type="dxa"/>
            </w:tcMar>
            <w:hideMark/>
          </w:tcPr>
          <w:p w14:paraId="098F4289" w14:textId="2DA523D7" w:rsidR="00674268" w:rsidRPr="00674268" w:rsidRDefault="00DD5D47" w:rsidP="0030665A">
            <w:pPr>
              <w:jc w:val="both"/>
            </w:pPr>
            <w:r>
              <w:t>Tick yes</w:t>
            </w:r>
          </w:p>
          <w:p w14:paraId="57F830E6" w14:textId="77777777" w:rsidR="00674268" w:rsidRPr="00674268" w:rsidRDefault="00674268" w:rsidP="0030665A">
            <w:pPr>
              <w:jc w:val="both"/>
            </w:pPr>
            <w:r w:rsidRPr="00674268">
              <w:t>Public procurement</w:t>
            </w:r>
          </w:p>
        </w:tc>
      </w:tr>
      <w:tr w:rsidR="007F1C3D" w:rsidRPr="00674268" w14:paraId="5DE65BC1" w14:textId="77777777" w:rsidTr="00674268">
        <w:tc>
          <w:tcPr>
            <w:tcW w:w="0" w:type="auto"/>
            <w:tcMar>
              <w:top w:w="0" w:type="dxa"/>
              <w:left w:w="0" w:type="dxa"/>
              <w:bottom w:w="0" w:type="dxa"/>
              <w:right w:w="0" w:type="dxa"/>
            </w:tcMar>
            <w:hideMark/>
          </w:tcPr>
          <w:p w14:paraId="2012E0AF" w14:textId="77777777" w:rsidR="00674268" w:rsidRPr="00674268" w:rsidRDefault="00674268" w:rsidP="0030665A">
            <w:pPr>
              <w:jc w:val="both"/>
            </w:pPr>
          </w:p>
        </w:tc>
        <w:tc>
          <w:tcPr>
            <w:tcW w:w="0" w:type="auto"/>
            <w:tcMar>
              <w:top w:w="0" w:type="dxa"/>
              <w:left w:w="0" w:type="dxa"/>
              <w:bottom w:w="0" w:type="dxa"/>
              <w:right w:w="150" w:type="dxa"/>
            </w:tcMar>
            <w:hideMark/>
          </w:tcPr>
          <w:p w14:paraId="0401B761" w14:textId="77777777" w:rsidR="00674268" w:rsidRDefault="002958B3" w:rsidP="0030665A">
            <w:pPr>
              <w:jc w:val="both"/>
            </w:pPr>
            <w:r>
              <w:t>Tick yes</w:t>
            </w:r>
          </w:p>
          <w:p w14:paraId="23C46676" w14:textId="77777777" w:rsidR="00E51894" w:rsidRDefault="00E51894" w:rsidP="0030665A">
            <w:pPr>
              <w:jc w:val="both"/>
            </w:pPr>
            <w:r>
              <w:t xml:space="preserve">Other: </w:t>
            </w:r>
          </w:p>
          <w:p w14:paraId="7E5354BA" w14:textId="320F212F" w:rsidR="00E51894" w:rsidRPr="00674268" w:rsidRDefault="008B6AD1" w:rsidP="0030665A">
            <w:pPr>
              <w:jc w:val="both"/>
            </w:pPr>
            <w:r w:rsidRPr="008B6AD1">
              <w:t>The Commission should fulfill its role as Guardian of the Treaties, and ensure a full implementation of the existing legislation on energy communities, particularly regarding the transposition of its definitions and enabling framework</w:t>
            </w:r>
            <w:r>
              <w:t>.</w:t>
            </w:r>
          </w:p>
        </w:tc>
      </w:tr>
    </w:tbl>
    <w:p w14:paraId="3091C835" w14:textId="77777777" w:rsidR="00140362" w:rsidRDefault="00B7508E" w:rsidP="0030665A">
      <w:pPr>
        <w:jc w:val="both"/>
      </w:pPr>
      <w:r w:rsidRPr="00B7508E">
        <w:t>03. Are there any good practices that you think would be useful to highlight in such a guidance?</w:t>
      </w:r>
    </w:p>
    <w:p w14:paraId="239551B2" w14:textId="29DAF879" w:rsidR="006B237B" w:rsidRDefault="006B237B" w:rsidP="0030665A">
      <w:pPr>
        <w:jc w:val="both"/>
      </w:pPr>
      <w:r>
        <w:lastRenderedPageBreak/>
        <w:t xml:space="preserve">In access to financing, it is very important to open the banking sector to citizen initiatives that usually struggle to access bank loans. </w:t>
      </w:r>
      <w:r w:rsidR="007D104C">
        <w:t>Energy communities</w:t>
      </w:r>
      <w:r>
        <w:t xml:space="preserve"> struggle </w:t>
      </w:r>
      <w:r w:rsidR="00FF1E0A">
        <w:t>with</w:t>
      </w:r>
      <w:r w:rsidR="001C3A04">
        <w:t xml:space="preserve"> the</w:t>
      </w:r>
      <w:r>
        <w:t xml:space="preserve"> l</w:t>
      </w:r>
      <w:r w:rsidRPr="006B237B">
        <w:t>ack of access to capital or investment</w:t>
      </w:r>
      <w:r w:rsidR="001C3A04">
        <w:t xml:space="preserve"> and to </w:t>
      </w:r>
      <w:r w:rsidRPr="006B237B">
        <w:t>tailored financial products (e.g., microloans, cooperative investment schemes)</w:t>
      </w:r>
      <w:r w:rsidR="001C3A04">
        <w:t>. They also have d</w:t>
      </w:r>
      <w:r w:rsidRPr="006B237B">
        <w:t>ifficulty accessing bank financing due to the small-scale, citizen-led, or sustainable nature of the project</w:t>
      </w:r>
      <w:r w:rsidR="001C3A04">
        <w:t xml:space="preserve"> and the l</w:t>
      </w:r>
      <w:r w:rsidRPr="006B237B">
        <w:t>ack of interest in non-profit and community-based business models</w:t>
      </w:r>
      <w:r w:rsidR="001C3A04">
        <w:t xml:space="preserve"> and </w:t>
      </w:r>
      <w:r w:rsidRPr="006B237B">
        <w:t>awareness about energy community business model</w:t>
      </w:r>
      <w:r>
        <w:t>.</w:t>
      </w:r>
    </w:p>
    <w:p w14:paraId="0B59AD28" w14:textId="6C33D964" w:rsidR="00674268" w:rsidRPr="004F77F2" w:rsidRDefault="006B237B" w:rsidP="006B237B">
      <w:pPr>
        <w:jc w:val="both"/>
        <w:rPr>
          <w:lang w:val="en-US"/>
        </w:rPr>
      </w:pPr>
      <w:r>
        <w:t xml:space="preserve">A good practice in public procurement is </w:t>
      </w:r>
      <w:r w:rsidR="006C6ECF">
        <w:rPr>
          <w:lang w:val="en-US"/>
        </w:rPr>
        <w:t>when</w:t>
      </w:r>
      <w:r w:rsidR="006C6ECF">
        <w:t xml:space="preserve"> </w:t>
      </w:r>
      <w:r>
        <w:t xml:space="preserve">regional </w:t>
      </w:r>
      <w:r w:rsidR="007B1F81">
        <w:t>energy</w:t>
      </w:r>
      <w:r>
        <w:t xml:space="preserve"> agencies</w:t>
      </w:r>
      <w:r w:rsidRPr="006B237B">
        <w:t xml:space="preserve"> play </w:t>
      </w:r>
      <w:r w:rsidR="007D104C">
        <w:t>a</w:t>
      </w:r>
      <w:r w:rsidR="006C6ECF">
        <w:rPr>
          <w:lang w:val="en-US"/>
        </w:rPr>
        <w:t>n</w:t>
      </w:r>
      <w:r>
        <w:t xml:space="preserve"> enabling</w:t>
      </w:r>
      <w:r w:rsidRPr="006B237B">
        <w:t xml:space="preserve"> role in support</w:t>
      </w:r>
      <w:r>
        <w:t>ing</w:t>
      </w:r>
      <w:r w:rsidRPr="006B237B">
        <w:t xml:space="preserve"> </w:t>
      </w:r>
      <w:r w:rsidR="00FF1E0A">
        <w:t>e</w:t>
      </w:r>
      <w:r w:rsidR="007D104C">
        <w:t>nergy communities</w:t>
      </w:r>
      <w:r w:rsidRPr="006B237B">
        <w:t xml:space="preserve">, </w:t>
      </w:r>
      <w:r w:rsidR="006C6ECF">
        <w:rPr>
          <w:lang w:val="en-US"/>
        </w:rPr>
        <w:t xml:space="preserve">by </w:t>
      </w:r>
      <w:r w:rsidRPr="006B237B">
        <w:t xml:space="preserve">directly managing or designing procurement processes </w:t>
      </w:r>
      <w:r w:rsidR="006C6ECF">
        <w:rPr>
          <w:lang w:val="en-US"/>
        </w:rPr>
        <w:t xml:space="preserve">or by </w:t>
      </w:r>
      <w:r w:rsidRPr="006B237B">
        <w:t>advising municipalities</w:t>
      </w:r>
      <w:r w:rsidR="004A21B9">
        <w:t xml:space="preserve"> on how to set up energy communities</w:t>
      </w:r>
      <w:r w:rsidRPr="006B237B">
        <w:t xml:space="preserve">. While </w:t>
      </w:r>
      <w:r w:rsidR="00D16D5B">
        <w:rPr>
          <w:lang w:val="en-US"/>
        </w:rPr>
        <w:t xml:space="preserve">only </w:t>
      </w:r>
      <w:r w:rsidRPr="006B237B">
        <w:t xml:space="preserve">a few </w:t>
      </w:r>
      <w:r>
        <w:t xml:space="preserve">of these </w:t>
      </w:r>
      <w:r w:rsidRPr="006B237B">
        <w:t>agencies are active in this area, most see strong potential for future engagement. </w:t>
      </w:r>
      <w:r w:rsidR="007B1F81">
        <w:t xml:space="preserve">The same goes for permitting and licensing, these agencies are well placed to support </w:t>
      </w:r>
      <w:r w:rsidR="007D104C">
        <w:t>energy communities</w:t>
      </w:r>
      <w:r w:rsidR="007B1F81">
        <w:t xml:space="preserve">. </w:t>
      </w:r>
      <w:r w:rsidR="007B1F81" w:rsidRPr="007B1F81">
        <w:rPr>
          <w:lang w:val="en-GB"/>
        </w:rPr>
        <w:t xml:space="preserve">This includes support to all actors that may find themselves in </w:t>
      </w:r>
      <w:r w:rsidR="007D104C">
        <w:rPr>
          <w:lang w:val="en-GB"/>
        </w:rPr>
        <w:t xml:space="preserve">such a </w:t>
      </w:r>
      <w:r w:rsidR="007B1F81" w:rsidRPr="007B1F81">
        <w:rPr>
          <w:lang w:val="en-GB"/>
        </w:rPr>
        <w:t>project, ranging from local authorities, citizens and SMEs.</w:t>
      </w:r>
      <w:r w:rsidR="007B1F81" w:rsidRPr="007B1F81">
        <w:t xml:space="preserve"> In this spirit, many </w:t>
      </w:r>
      <w:r w:rsidR="007B1F81">
        <w:t xml:space="preserve">of these </w:t>
      </w:r>
      <w:r w:rsidR="003A2416">
        <w:rPr>
          <w:lang w:val="en-US"/>
        </w:rPr>
        <w:t xml:space="preserve">regional energy </w:t>
      </w:r>
      <w:r w:rsidR="007B1F81">
        <w:t>agencies, as well as</w:t>
      </w:r>
      <w:r w:rsidR="005B0299">
        <w:t xml:space="preserve"> cities</w:t>
      </w:r>
      <w:r w:rsidR="00032472">
        <w:t>, associations or</w:t>
      </w:r>
      <w:r w:rsidR="007B1F81">
        <w:t xml:space="preserve"> federation of </w:t>
      </w:r>
      <w:r w:rsidR="007D104C">
        <w:t>energy communities</w:t>
      </w:r>
      <w:r w:rsidR="007B1F81">
        <w:t>,</w:t>
      </w:r>
      <w:r w:rsidR="007B1F81" w:rsidRPr="007B1F81">
        <w:t xml:space="preserve"> now operate as a one-stop shop for energy communities</w:t>
      </w:r>
      <w:r w:rsidR="007B1F81">
        <w:t xml:space="preserve">. </w:t>
      </w:r>
    </w:p>
    <w:p w14:paraId="61859298" w14:textId="77777777" w:rsidR="00D50CBE" w:rsidRPr="00D50CBE" w:rsidRDefault="00D50CBE" w:rsidP="00D50CBE">
      <w:r w:rsidRPr="00D50CBE">
        <w:rPr>
          <w:b/>
          <w:bCs/>
          <w:i/>
          <w:iCs/>
        </w:rPr>
        <w:t>Section 3 on Consumer Protection, Affordability and Public Acceptance</w:t>
      </w:r>
    </w:p>
    <w:p w14:paraId="5C55C249" w14:textId="77777777" w:rsidR="00D50CBE" w:rsidRPr="00D50CBE" w:rsidRDefault="00D50CBE" w:rsidP="00D50CBE">
      <w:r w:rsidRPr="00D50CBE">
        <w:rPr>
          <w:b/>
          <w:bCs/>
        </w:rPr>
        <w:t>General questions</w:t>
      </w:r>
    </w:p>
    <w:p w14:paraId="610B4807" w14:textId="0819CABB" w:rsidR="00D50CBE" w:rsidRPr="00D50CBE" w:rsidRDefault="00D50CBE" w:rsidP="0030665A">
      <w:pPr>
        <w:jc w:val="both"/>
      </w:pPr>
      <w:r w:rsidRPr="00D50CBE">
        <w:t>Question</w:t>
      </w:r>
      <w:r w:rsidR="00DE6414">
        <w:t xml:space="preserve"> </w:t>
      </w:r>
      <w:r w:rsidRPr="00D50CBE">
        <w:t>01. What actions are needed at EU, national and local level and by whom to raise awareness about consumer protection, rights and opportunities for consumers to engage in the energy transition? Are you aware of any good practices?</w:t>
      </w:r>
    </w:p>
    <w:p w14:paraId="0D9A6FBE" w14:textId="27330B2F" w:rsidR="005E3B22" w:rsidRDefault="004945C3" w:rsidP="0030665A">
      <w:pPr>
        <w:jc w:val="both"/>
      </w:pPr>
      <w:r>
        <w:t xml:space="preserve">As already mentioned above, </w:t>
      </w:r>
      <w:r w:rsidR="00F9033C">
        <w:t xml:space="preserve">the implementation of existing legislation is paramount to raise awareness </w:t>
      </w:r>
      <w:r w:rsidR="002E78F7">
        <w:t>among</w:t>
      </w:r>
      <w:r w:rsidR="00F9033C">
        <w:t xml:space="preserve"> consumers</w:t>
      </w:r>
      <w:r w:rsidR="00B00390">
        <w:t xml:space="preserve"> </w:t>
      </w:r>
      <w:r w:rsidR="002E78F7">
        <w:t>on</w:t>
      </w:r>
      <w:r w:rsidR="004F1B7E">
        <w:t xml:space="preserve"> their opportunities to </w:t>
      </w:r>
      <w:r w:rsidR="009E0823">
        <w:t>engage in the energy transition</w:t>
      </w:r>
      <w:r w:rsidR="00F9033C">
        <w:t xml:space="preserve">. Specifically, the implementation of the provisions on </w:t>
      </w:r>
      <w:r w:rsidR="000B7F0D">
        <w:t>information and awareness raising in EED Article 22</w:t>
      </w:r>
      <w:r w:rsidR="0038502E">
        <w:t xml:space="preserve"> and EPBD Article </w:t>
      </w:r>
      <w:r w:rsidR="00F81D48">
        <w:t xml:space="preserve">18 related to the creation of one-stop shops </w:t>
      </w:r>
      <w:r w:rsidR="0033714A">
        <w:t>will enable consumers to be more aware of their</w:t>
      </w:r>
      <w:r w:rsidR="009E0823">
        <w:t xml:space="preserve"> energy</w:t>
      </w:r>
      <w:r w:rsidR="0033714A">
        <w:t xml:space="preserve"> </w:t>
      </w:r>
      <w:r w:rsidR="009B66AC">
        <w:t xml:space="preserve">rights and </w:t>
      </w:r>
      <w:r w:rsidR="009E0823">
        <w:t>possibilities</w:t>
      </w:r>
      <w:r w:rsidR="009B66AC">
        <w:t xml:space="preserve"> and therefore be </w:t>
      </w:r>
      <w:r w:rsidR="003A011A">
        <w:t>better equipped to take actions related to their energy use.</w:t>
      </w:r>
      <w:r w:rsidR="00964862">
        <w:t xml:space="preserve"> </w:t>
      </w:r>
    </w:p>
    <w:p w14:paraId="21B3CAC3" w14:textId="2129E000" w:rsidR="0038502E" w:rsidRDefault="7FC8218A" w:rsidP="0030665A">
      <w:pPr>
        <w:jc w:val="both"/>
        <w:rPr>
          <w:lang w:val="en-US"/>
        </w:rPr>
      </w:pPr>
      <w:r w:rsidRPr="7FC8218A">
        <w:rPr>
          <w:lang w:val="en-US"/>
        </w:rPr>
        <w:t>Such legislative provisions echo the first recommendation of the European Citizens’ Panel on Energy Efficiency which suggests</w:t>
      </w:r>
      <w:r w:rsidR="006F05CB">
        <w:rPr>
          <w:lang w:val="en-US"/>
        </w:rPr>
        <w:t xml:space="preserve"> that</w:t>
      </w:r>
      <w:r w:rsidRPr="7FC8218A">
        <w:rPr>
          <w:lang w:val="en-US"/>
        </w:rPr>
        <w:t xml:space="preserve"> </w:t>
      </w:r>
      <w:r w:rsidR="0030665A">
        <w:rPr>
          <w:lang w:val="en-US"/>
        </w:rPr>
        <w:t>“</w:t>
      </w:r>
      <w:r w:rsidRPr="7FC8218A">
        <w:rPr>
          <w:lang w:val="en-US"/>
        </w:rPr>
        <w:t>information provided to consumers be made more accessible, transparent, and usable, to empower households and organisations to become more energy efficient”</w:t>
      </w:r>
      <w:r w:rsidR="006F05CB">
        <w:rPr>
          <w:lang w:val="en-US"/>
        </w:rPr>
        <w:t>. The panel proposes</w:t>
      </w:r>
      <w:r w:rsidR="009B06CE">
        <w:rPr>
          <w:lang w:val="en-US"/>
        </w:rPr>
        <w:t>,</w:t>
      </w:r>
      <w:r w:rsidR="006F05CB">
        <w:rPr>
          <w:lang w:val="en-US"/>
        </w:rPr>
        <w:t xml:space="preserve"> for instance</w:t>
      </w:r>
      <w:r w:rsidR="009B06CE">
        <w:rPr>
          <w:lang w:val="en-US"/>
        </w:rPr>
        <w:t>,</w:t>
      </w:r>
      <w:r w:rsidR="006F05CB">
        <w:rPr>
          <w:lang w:val="en-US"/>
        </w:rPr>
        <w:t xml:space="preserve"> </w:t>
      </w:r>
      <w:r w:rsidRPr="7FC8218A">
        <w:rPr>
          <w:lang w:val="en-US"/>
        </w:rPr>
        <w:t>an online portal with a self-audit function, a network of physical one-stop-shops at municipal level and more accessible energy efficiency labels on products.</w:t>
      </w:r>
      <w:r w:rsidR="3E6EAD67" w:rsidRPr="084677C6">
        <w:rPr>
          <w:lang w:val="en-US"/>
        </w:rPr>
        <w:t xml:space="preserve"> </w:t>
      </w:r>
      <w:bookmarkStart w:id="4" w:name="_Hlk204689226"/>
      <w:r w:rsidR="003A011A" w:rsidRPr="084677C6">
        <w:rPr>
          <w:lang w:val="en-US"/>
        </w:rPr>
        <w:t xml:space="preserve">Another element to </w:t>
      </w:r>
      <w:r w:rsidR="005178FC" w:rsidRPr="084677C6">
        <w:rPr>
          <w:lang w:val="en-US"/>
        </w:rPr>
        <w:t xml:space="preserve">improve the </w:t>
      </w:r>
      <w:r w:rsidR="003A011A" w:rsidRPr="084677C6">
        <w:rPr>
          <w:lang w:val="en-US"/>
        </w:rPr>
        <w:t>engage</w:t>
      </w:r>
      <w:r w:rsidR="005178FC" w:rsidRPr="084677C6">
        <w:rPr>
          <w:lang w:val="en-US"/>
        </w:rPr>
        <w:t>ment of</w:t>
      </w:r>
      <w:r w:rsidR="003A011A" w:rsidRPr="084677C6">
        <w:rPr>
          <w:lang w:val="en-US"/>
        </w:rPr>
        <w:t xml:space="preserve"> consumers </w:t>
      </w:r>
      <w:r w:rsidR="00205E0C" w:rsidRPr="084677C6">
        <w:rPr>
          <w:lang w:val="en-US"/>
        </w:rPr>
        <w:t xml:space="preserve">in the energy transition </w:t>
      </w:r>
      <w:r w:rsidR="003A011A" w:rsidRPr="084677C6">
        <w:rPr>
          <w:lang w:val="en-US"/>
        </w:rPr>
        <w:t xml:space="preserve">is </w:t>
      </w:r>
      <w:r w:rsidR="00205E0C" w:rsidRPr="084677C6">
        <w:rPr>
          <w:lang w:val="en-US"/>
        </w:rPr>
        <w:t xml:space="preserve">to </w:t>
      </w:r>
      <w:r w:rsidR="005178FC" w:rsidRPr="084677C6">
        <w:rPr>
          <w:lang w:val="en-US"/>
        </w:rPr>
        <w:t>facilitate</w:t>
      </w:r>
      <w:r w:rsidR="00205E0C" w:rsidRPr="084677C6">
        <w:rPr>
          <w:lang w:val="en-US"/>
        </w:rPr>
        <w:t xml:space="preserve"> </w:t>
      </w:r>
      <w:r w:rsidR="57E033DE" w:rsidRPr="084677C6">
        <w:rPr>
          <w:lang w:val="en-US"/>
        </w:rPr>
        <w:t xml:space="preserve">information </w:t>
      </w:r>
      <w:r w:rsidR="003A011A" w:rsidRPr="084677C6">
        <w:rPr>
          <w:lang w:val="en-US"/>
        </w:rPr>
        <w:t xml:space="preserve">about </w:t>
      </w:r>
      <w:r w:rsidR="005178FC" w:rsidRPr="084677C6">
        <w:rPr>
          <w:lang w:val="en-US"/>
        </w:rPr>
        <w:t xml:space="preserve">their </w:t>
      </w:r>
      <w:r w:rsidR="39C0D70F" w:rsidRPr="084677C6">
        <w:rPr>
          <w:lang w:val="en-US"/>
        </w:rPr>
        <w:t xml:space="preserve">individual </w:t>
      </w:r>
      <w:r w:rsidR="00F15BEA" w:rsidRPr="084677C6">
        <w:rPr>
          <w:lang w:val="en-US"/>
        </w:rPr>
        <w:t xml:space="preserve">energy </w:t>
      </w:r>
      <w:r w:rsidR="00205E0C" w:rsidRPr="084677C6">
        <w:rPr>
          <w:lang w:val="en-US"/>
        </w:rPr>
        <w:t xml:space="preserve">consumption </w:t>
      </w:r>
      <w:r w:rsidR="6689BA26">
        <w:t>in real time or frequently, providing insights on</w:t>
      </w:r>
      <w:r w:rsidR="78DDFB57">
        <w:t xml:space="preserve"> consumption data and</w:t>
      </w:r>
      <w:r w:rsidR="6689BA26">
        <w:t xml:space="preserve"> </w:t>
      </w:r>
      <w:r w:rsidR="00F15BEA" w:rsidRPr="084677C6">
        <w:rPr>
          <w:lang w:val="en-US"/>
        </w:rPr>
        <w:t xml:space="preserve">how to optimise </w:t>
      </w:r>
      <w:r w:rsidR="13A67196" w:rsidRPr="084677C6">
        <w:rPr>
          <w:lang w:val="en-US"/>
        </w:rPr>
        <w:t>it</w:t>
      </w:r>
      <w:r w:rsidR="00964862">
        <w:rPr>
          <w:lang w:val="en-US"/>
        </w:rPr>
        <w:t xml:space="preserve"> using energy efficiency technologies and services</w:t>
      </w:r>
      <w:r w:rsidR="12E5F880" w:rsidRPr="084677C6">
        <w:rPr>
          <w:lang w:val="en-US"/>
        </w:rPr>
        <w:t>.</w:t>
      </w:r>
    </w:p>
    <w:bookmarkEnd w:id="4"/>
    <w:p w14:paraId="68D5AE30" w14:textId="03E889A1" w:rsidR="00BE7B4C" w:rsidRPr="00674268" w:rsidRDefault="000D26E3" w:rsidP="00733F5B">
      <w:pPr>
        <w:jc w:val="both"/>
      </w:pPr>
      <w:r>
        <w:lastRenderedPageBreak/>
        <w:t xml:space="preserve">However, to </w:t>
      </w:r>
      <w:r w:rsidR="0071322E">
        <w:t>bridge</w:t>
      </w:r>
      <w:r>
        <w:t xml:space="preserve"> the first gap of awareness raising, information campaigns should be organised at all </w:t>
      </w:r>
      <w:r w:rsidR="00011E65">
        <w:t>levels</w:t>
      </w:r>
      <w:r>
        <w:t xml:space="preserve"> (EU, national and local) </w:t>
      </w:r>
      <w:r w:rsidR="000833AB">
        <w:t xml:space="preserve">to </w:t>
      </w:r>
      <w:r w:rsidR="002E6E0E">
        <w:t xml:space="preserve">highlight the </w:t>
      </w:r>
      <w:r w:rsidR="00DD5F08">
        <w:t>benefits</w:t>
      </w:r>
      <w:r w:rsidR="002E6E0E">
        <w:t xml:space="preserve"> of energy efficiency solutions</w:t>
      </w:r>
      <w:r w:rsidR="000833AB">
        <w:t xml:space="preserve">. </w:t>
      </w:r>
      <w:r w:rsidR="00D63B57">
        <w:t xml:space="preserve">In addition to </w:t>
      </w:r>
      <w:r w:rsidR="000833AB">
        <w:t>awareness, these campaigns should be followed by p</w:t>
      </w:r>
      <w:r w:rsidR="000833AB" w:rsidRPr="000833AB">
        <w:t>ersonalised and tailored advice</w:t>
      </w:r>
      <w:r w:rsidR="002E6E0E">
        <w:t xml:space="preserve"> </w:t>
      </w:r>
      <w:r w:rsidR="00FD24F2">
        <w:t>while</w:t>
      </w:r>
      <w:r w:rsidR="002E6E0E">
        <w:t xml:space="preserve"> </w:t>
      </w:r>
      <w:r w:rsidR="00997398">
        <w:t>mak</w:t>
      </w:r>
      <w:r w:rsidR="00FD24F2">
        <w:t>ing</w:t>
      </w:r>
      <w:r w:rsidR="00997398">
        <w:t xml:space="preserve"> the link with the</w:t>
      </w:r>
      <w:r w:rsidR="002E6E0E">
        <w:t xml:space="preserve"> opportunities available to </w:t>
      </w:r>
      <w:r w:rsidR="00997398">
        <w:t xml:space="preserve">implement these </w:t>
      </w:r>
      <w:r w:rsidR="00011E65">
        <w:t>technologies</w:t>
      </w:r>
      <w:r w:rsidR="00372994">
        <w:t>.</w:t>
      </w:r>
      <w:r w:rsidR="00964862">
        <w:t xml:space="preserve"> </w:t>
      </w:r>
      <w:r w:rsidR="00FD24F2">
        <w:t xml:space="preserve">This </w:t>
      </w:r>
      <w:r w:rsidR="00903641" w:rsidRPr="00903641">
        <w:t>is a pre-requisite to ensure sustainable behaviour change and the continued uptake of energy efficiency solutions</w:t>
      </w:r>
      <w:r w:rsidR="00903641">
        <w:t xml:space="preserve">. </w:t>
      </w:r>
      <w:r w:rsidR="00964862">
        <w:t xml:space="preserve">For instance, an </w:t>
      </w:r>
      <w:hyperlink r:id="rId11" w:history="1">
        <w:r w:rsidR="00964862" w:rsidRPr="00964862">
          <w:rPr>
            <w:rStyle w:val="Hyperlink"/>
          </w:rPr>
          <w:t>EU Peers LIFE Project</w:t>
        </w:r>
      </w:hyperlink>
      <w:r w:rsidR="00964862" w:rsidRPr="00964862">
        <w:t xml:space="preserve"> </w:t>
      </w:r>
      <w:r w:rsidR="00964862">
        <w:t>aims at creating a</w:t>
      </w:r>
      <w:r w:rsidR="00964862" w:rsidRPr="00964862">
        <w:t xml:space="preserve"> </w:t>
      </w:r>
      <w:r w:rsidR="00964862">
        <w:t>European c</w:t>
      </w:r>
      <w:r w:rsidR="00964862" w:rsidRPr="00964862">
        <w:t>ommunity of One-Stop Shops</w:t>
      </w:r>
      <w:r w:rsidR="00964862">
        <w:t xml:space="preserve"> for energy renovation</w:t>
      </w:r>
      <w:r w:rsidR="002D490F">
        <w:t xml:space="preserve">, ensuring that </w:t>
      </w:r>
      <w:r w:rsidR="00964862">
        <w:t xml:space="preserve">awareness measures can be directly linked </w:t>
      </w:r>
      <w:r w:rsidR="002D490F">
        <w:t xml:space="preserve">to tailored advice and </w:t>
      </w:r>
      <w:r w:rsidR="00964862">
        <w:t>act</w:t>
      </w:r>
      <w:r w:rsidR="002D490F">
        <w:t>ed</w:t>
      </w:r>
      <w:r w:rsidR="00964862">
        <w:t xml:space="preserve"> on </w:t>
      </w:r>
      <w:r w:rsidR="002D490F">
        <w:t>to unlock their</w:t>
      </w:r>
      <w:r w:rsidR="00964862">
        <w:t xml:space="preserve"> energy efficiency potential. </w:t>
      </w:r>
      <w:bookmarkEnd w:id="0"/>
    </w:p>
    <w:sectPr w:rsidR="00BE7B4C" w:rsidRPr="0067426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8B73D" w14:textId="77777777" w:rsidR="003D0C65" w:rsidRDefault="003D0C65" w:rsidP="00951D96">
      <w:pPr>
        <w:spacing w:after="0" w:line="240" w:lineRule="auto"/>
      </w:pPr>
      <w:r>
        <w:separator/>
      </w:r>
    </w:p>
  </w:endnote>
  <w:endnote w:type="continuationSeparator" w:id="0">
    <w:p w14:paraId="44798324" w14:textId="77777777" w:rsidR="003D0C65" w:rsidRDefault="003D0C65" w:rsidP="00951D96">
      <w:pPr>
        <w:spacing w:after="0" w:line="240" w:lineRule="auto"/>
      </w:pPr>
      <w:r>
        <w:continuationSeparator/>
      </w:r>
    </w:p>
  </w:endnote>
  <w:endnote w:type="continuationNotice" w:id="1">
    <w:p w14:paraId="5CAD63D5" w14:textId="77777777" w:rsidR="003D0C65" w:rsidRDefault="003D0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23A94" w14:textId="77777777" w:rsidR="003D0C65" w:rsidRDefault="003D0C65" w:rsidP="00951D96">
      <w:pPr>
        <w:spacing w:after="0" w:line="240" w:lineRule="auto"/>
      </w:pPr>
      <w:r>
        <w:separator/>
      </w:r>
    </w:p>
  </w:footnote>
  <w:footnote w:type="continuationSeparator" w:id="0">
    <w:p w14:paraId="75534C6E" w14:textId="77777777" w:rsidR="003D0C65" w:rsidRDefault="003D0C65" w:rsidP="00951D96">
      <w:pPr>
        <w:spacing w:after="0" w:line="240" w:lineRule="auto"/>
      </w:pPr>
      <w:r>
        <w:continuationSeparator/>
      </w:r>
    </w:p>
  </w:footnote>
  <w:footnote w:type="continuationNotice" w:id="1">
    <w:p w14:paraId="27324F51" w14:textId="77777777" w:rsidR="003D0C65" w:rsidRDefault="003D0C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7BC2" w14:textId="1BFB7634" w:rsidR="00951D96" w:rsidRDefault="00951D96" w:rsidP="00951D96">
    <w:pPr>
      <w:pStyle w:val="Header"/>
      <w:ind w:firstLine="720"/>
    </w:pPr>
    <w:r>
      <w:rPr>
        <w:noProof/>
      </w:rPr>
      <w:drawing>
        <wp:inline distT="0" distB="0" distL="0" distR="0" wp14:anchorId="18F26270" wp14:editId="25B72959">
          <wp:extent cx="1641475" cy="410210"/>
          <wp:effectExtent l="0" t="0" r="0" b="8890"/>
          <wp:docPr id="25" name="Image 0" descr="COLOUR_LOGO_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0" descr="COLOUR_LOGO_CES.jpg"/>
                  <pic:cNvPicPr>
                    <a:picLocks noChangeAspect="1"/>
                  </pic:cNvPicPr>
                </pic:nvPicPr>
                <pic:blipFill>
                  <a:blip r:embed="rId1"/>
                  <a:stretch>
                    <a:fillRect/>
                  </a:stretch>
                </pic:blipFill>
                <pic:spPr>
                  <a:xfrm>
                    <a:off x="0" y="0"/>
                    <a:ext cx="1641475" cy="41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A787F"/>
    <w:multiLevelType w:val="hybridMultilevel"/>
    <w:tmpl w:val="1548C0CA"/>
    <w:lvl w:ilvl="0" w:tplc="FA10E768">
      <w:start w:val="1"/>
      <w:numFmt w:val="decimalZero"/>
      <w:lvlText w:val="%1."/>
      <w:lvlJc w:val="left"/>
      <w:pPr>
        <w:ind w:left="730" w:hanging="3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0100152"/>
    <w:multiLevelType w:val="multilevel"/>
    <w:tmpl w:val="9378D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6380F"/>
    <w:multiLevelType w:val="multilevel"/>
    <w:tmpl w:val="D070F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04577184">
    <w:abstractNumId w:val="0"/>
  </w:num>
  <w:num w:numId="2" w16cid:durableId="843252910">
    <w:abstractNumId w:val="1"/>
  </w:num>
  <w:num w:numId="3" w16cid:durableId="468397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E88"/>
    <w:rsid w:val="000016BD"/>
    <w:rsid w:val="0000588A"/>
    <w:rsid w:val="000119A2"/>
    <w:rsid w:val="00011E65"/>
    <w:rsid w:val="00017C21"/>
    <w:rsid w:val="00025DCC"/>
    <w:rsid w:val="00031D3A"/>
    <w:rsid w:val="00032472"/>
    <w:rsid w:val="00033773"/>
    <w:rsid w:val="00033E91"/>
    <w:rsid w:val="0003514F"/>
    <w:rsid w:val="000359A8"/>
    <w:rsid w:val="00043029"/>
    <w:rsid w:val="00055077"/>
    <w:rsid w:val="00066E55"/>
    <w:rsid w:val="000704CF"/>
    <w:rsid w:val="00080BB3"/>
    <w:rsid w:val="000816EA"/>
    <w:rsid w:val="00081C63"/>
    <w:rsid w:val="000833AB"/>
    <w:rsid w:val="000833BE"/>
    <w:rsid w:val="00084223"/>
    <w:rsid w:val="00084813"/>
    <w:rsid w:val="0008499E"/>
    <w:rsid w:val="00085739"/>
    <w:rsid w:val="000949D2"/>
    <w:rsid w:val="000A0A6E"/>
    <w:rsid w:val="000A199F"/>
    <w:rsid w:val="000A46FC"/>
    <w:rsid w:val="000A7A8C"/>
    <w:rsid w:val="000B2923"/>
    <w:rsid w:val="000B7F0D"/>
    <w:rsid w:val="000C0CAF"/>
    <w:rsid w:val="000C2CAD"/>
    <w:rsid w:val="000D15BE"/>
    <w:rsid w:val="000D2200"/>
    <w:rsid w:val="000D2482"/>
    <w:rsid w:val="000D26E3"/>
    <w:rsid w:val="000F3E81"/>
    <w:rsid w:val="00105984"/>
    <w:rsid w:val="00125F73"/>
    <w:rsid w:val="00126C1D"/>
    <w:rsid w:val="001303EE"/>
    <w:rsid w:val="00135C3C"/>
    <w:rsid w:val="00140362"/>
    <w:rsid w:val="00147556"/>
    <w:rsid w:val="001606E4"/>
    <w:rsid w:val="001638CD"/>
    <w:rsid w:val="0018300E"/>
    <w:rsid w:val="00184BC3"/>
    <w:rsid w:val="00190724"/>
    <w:rsid w:val="00194A0D"/>
    <w:rsid w:val="001A0D63"/>
    <w:rsid w:val="001A5F2B"/>
    <w:rsid w:val="001A5F5A"/>
    <w:rsid w:val="001A69D6"/>
    <w:rsid w:val="001C3A04"/>
    <w:rsid w:val="001D1176"/>
    <w:rsid w:val="001D5BC0"/>
    <w:rsid w:val="001E228D"/>
    <w:rsid w:val="001E7767"/>
    <w:rsid w:val="001F107F"/>
    <w:rsid w:val="001F4CB4"/>
    <w:rsid w:val="00205E0C"/>
    <w:rsid w:val="00207535"/>
    <w:rsid w:val="00210B11"/>
    <w:rsid w:val="0021721B"/>
    <w:rsid w:val="00230D25"/>
    <w:rsid w:val="00231C21"/>
    <w:rsid w:val="002321BF"/>
    <w:rsid w:val="00236DA2"/>
    <w:rsid w:val="00257CFD"/>
    <w:rsid w:val="00270E38"/>
    <w:rsid w:val="00276DE7"/>
    <w:rsid w:val="00277684"/>
    <w:rsid w:val="002822B1"/>
    <w:rsid w:val="00282E81"/>
    <w:rsid w:val="00283B66"/>
    <w:rsid w:val="002928C8"/>
    <w:rsid w:val="002958B3"/>
    <w:rsid w:val="002A3BF2"/>
    <w:rsid w:val="002A6C78"/>
    <w:rsid w:val="002C3150"/>
    <w:rsid w:val="002C37F3"/>
    <w:rsid w:val="002C3BB2"/>
    <w:rsid w:val="002C4344"/>
    <w:rsid w:val="002C79DF"/>
    <w:rsid w:val="002D490F"/>
    <w:rsid w:val="002D6700"/>
    <w:rsid w:val="002D70C7"/>
    <w:rsid w:val="002E238F"/>
    <w:rsid w:val="002E6B6D"/>
    <w:rsid w:val="002E6E0E"/>
    <w:rsid w:val="002E78F7"/>
    <w:rsid w:val="002F2F1F"/>
    <w:rsid w:val="002F307C"/>
    <w:rsid w:val="0030665A"/>
    <w:rsid w:val="00314353"/>
    <w:rsid w:val="003150DE"/>
    <w:rsid w:val="0031531C"/>
    <w:rsid w:val="00321E54"/>
    <w:rsid w:val="003326AC"/>
    <w:rsid w:val="00334E88"/>
    <w:rsid w:val="0033714A"/>
    <w:rsid w:val="00341713"/>
    <w:rsid w:val="00347CE8"/>
    <w:rsid w:val="00352648"/>
    <w:rsid w:val="00356312"/>
    <w:rsid w:val="00361B6D"/>
    <w:rsid w:val="003713DC"/>
    <w:rsid w:val="00372994"/>
    <w:rsid w:val="00373759"/>
    <w:rsid w:val="00384693"/>
    <w:rsid w:val="0038502E"/>
    <w:rsid w:val="00386851"/>
    <w:rsid w:val="003871FE"/>
    <w:rsid w:val="00390637"/>
    <w:rsid w:val="003931F3"/>
    <w:rsid w:val="0039594B"/>
    <w:rsid w:val="003A011A"/>
    <w:rsid w:val="003A2416"/>
    <w:rsid w:val="003B0DCA"/>
    <w:rsid w:val="003B1367"/>
    <w:rsid w:val="003B677D"/>
    <w:rsid w:val="003C5FC0"/>
    <w:rsid w:val="003D0C65"/>
    <w:rsid w:val="003E1E14"/>
    <w:rsid w:val="003E3562"/>
    <w:rsid w:val="003E6C65"/>
    <w:rsid w:val="003F2E11"/>
    <w:rsid w:val="003F5BE3"/>
    <w:rsid w:val="003F5C63"/>
    <w:rsid w:val="004364EC"/>
    <w:rsid w:val="004449F8"/>
    <w:rsid w:val="00494012"/>
    <w:rsid w:val="004945C3"/>
    <w:rsid w:val="004A0977"/>
    <w:rsid w:val="004A21B9"/>
    <w:rsid w:val="004A2957"/>
    <w:rsid w:val="004A4707"/>
    <w:rsid w:val="004A7EC7"/>
    <w:rsid w:val="004B3C91"/>
    <w:rsid w:val="004C3D14"/>
    <w:rsid w:val="004C7A05"/>
    <w:rsid w:val="004D7B49"/>
    <w:rsid w:val="004E0A03"/>
    <w:rsid w:val="004E1199"/>
    <w:rsid w:val="004F0AAC"/>
    <w:rsid w:val="004F1B7E"/>
    <w:rsid w:val="004F283F"/>
    <w:rsid w:val="004F42CB"/>
    <w:rsid w:val="004F77F2"/>
    <w:rsid w:val="005044A6"/>
    <w:rsid w:val="00514087"/>
    <w:rsid w:val="00516085"/>
    <w:rsid w:val="005178FC"/>
    <w:rsid w:val="00517E03"/>
    <w:rsid w:val="005241C4"/>
    <w:rsid w:val="0053027B"/>
    <w:rsid w:val="005304F2"/>
    <w:rsid w:val="005315F9"/>
    <w:rsid w:val="00534986"/>
    <w:rsid w:val="005379B0"/>
    <w:rsid w:val="00556124"/>
    <w:rsid w:val="005663CA"/>
    <w:rsid w:val="00575ABE"/>
    <w:rsid w:val="00585201"/>
    <w:rsid w:val="005858D1"/>
    <w:rsid w:val="005916FB"/>
    <w:rsid w:val="005A7EAA"/>
    <w:rsid w:val="005B0299"/>
    <w:rsid w:val="005B092F"/>
    <w:rsid w:val="005B3135"/>
    <w:rsid w:val="005B4162"/>
    <w:rsid w:val="005B57A6"/>
    <w:rsid w:val="005C10C5"/>
    <w:rsid w:val="005C6E22"/>
    <w:rsid w:val="005C71A7"/>
    <w:rsid w:val="005D2B54"/>
    <w:rsid w:val="005E3B22"/>
    <w:rsid w:val="005E62BD"/>
    <w:rsid w:val="005E7C2D"/>
    <w:rsid w:val="005F2E14"/>
    <w:rsid w:val="005F3C69"/>
    <w:rsid w:val="0060054F"/>
    <w:rsid w:val="00601B05"/>
    <w:rsid w:val="0060627E"/>
    <w:rsid w:val="0060662B"/>
    <w:rsid w:val="00616B22"/>
    <w:rsid w:val="006266FA"/>
    <w:rsid w:val="00632D44"/>
    <w:rsid w:val="006350E3"/>
    <w:rsid w:val="0064172A"/>
    <w:rsid w:val="00657CB2"/>
    <w:rsid w:val="00663358"/>
    <w:rsid w:val="006653CC"/>
    <w:rsid w:val="00667DAF"/>
    <w:rsid w:val="0067072E"/>
    <w:rsid w:val="00674268"/>
    <w:rsid w:val="0067498E"/>
    <w:rsid w:val="0067702A"/>
    <w:rsid w:val="00685BA6"/>
    <w:rsid w:val="00686F49"/>
    <w:rsid w:val="006872AC"/>
    <w:rsid w:val="006906A4"/>
    <w:rsid w:val="00690E15"/>
    <w:rsid w:val="006920DE"/>
    <w:rsid w:val="006931A3"/>
    <w:rsid w:val="006934A7"/>
    <w:rsid w:val="00693889"/>
    <w:rsid w:val="00693E53"/>
    <w:rsid w:val="006A1D26"/>
    <w:rsid w:val="006B237B"/>
    <w:rsid w:val="006B31B1"/>
    <w:rsid w:val="006C6ECF"/>
    <w:rsid w:val="006D2EB2"/>
    <w:rsid w:val="006D784C"/>
    <w:rsid w:val="006E394D"/>
    <w:rsid w:val="006F01F6"/>
    <w:rsid w:val="006F05CB"/>
    <w:rsid w:val="006F2EE0"/>
    <w:rsid w:val="00704387"/>
    <w:rsid w:val="007071FE"/>
    <w:rsid w:val="00711210"/>
    <w:rsid w:val="0071322E"/>
    <w:rsid w:val="0071368D"/>
    <w:rsid w:val="00721206"/>
    <w:rsid w:val="00721C7C"/>
    <w:rsid w:val="0072248E"/>
    <w:rsid w:val="007240BD"/>
    <w:rsid w:val="00725366"/>
    <w:rsid w:val="007275C4"/>
    <w:rsid w:val="00733F5B"/>
    <w:rsid w:val="0074256D"/>
    <w:rsid w:val="00770D39"/>
    <w:rsid w:val="00774959"/>
    <w:rsid w:val="0077715B"/>
    <w:rsid w:val="00780823"/>
    <w:rsid w:val="00781913"/>
    <w:rsid w:val="007828D4"/>
    <w:rsid w:val="007833E2"/>
    <w:rsid w:val="00790150"/>
    <w:rsid w:val="00795148"/>
    <w:rsid w:val="007B1F81"/>
    <w:rsid w:val="007B4E66"/>
    <w:rsid w:val="007C2891"/>
    <w:rsid w:val="007C672A"/>
    <w:rsid w:val="007D104C"/>
    <w:rsid w:val="007D3BD0"/>
    <w:rsid w:val="007E1B7E"/>
    <w:rsid w:val="007E33D7"/>
    <w:rsid w:val="007E3EED"/>
    <w:rsid w:val="007E5901"/>
    <w:rsid w:val="007F1A23"/>
    <w:rsid w:val="007F1C3D"/>
    <w:rsid w:val="0080445B"/>
    <w:rsid w:val="00810318"/>
    <w:rsid w:val="0081736E"/>
    <w:rsid w:val="008210D6"/>
    <w:rsid w:val="00824649"/>
    <w:rsid w:val="00844C65"/>
    <w:rsid w:val="00846214"/>
    <w:rsid w:val="008530D6"/>
    <w:rsid w:val="008546A1"/>
    <w:rsid w:val="00855982"/>
    <w:rsid w:val="00855FE9"/>
    <w:rsid w:val="008631B5"/>
    <w:rsid w:val="008636EF"/>
    <w:rsid w:val="00864A15"/>
    <w:rsid w:val="00865CC2"/>
    <w:rsid w:val="00870FEB"/>
    <w:rsid w:val="008807CA"/>
    <w:rsid w:val="00882345"/>
    <w:rsid w:val="008A2BE6"/>
    <w:rsid w:val="008B0CA2"/>
    <w:rsid w:val="008B0FA6"/>
    <w:rsid w:val="008B2A85"/>
    <w:rsid w:val="008B6AD1"/>
    <w:rsid w:val="008C149B"/>
    <w:rsid w:val="008C170B"/>
    <w:rsid w:val="008C1802"/>
    <w:rsid w:val="008C18F4"/>
    <w:rsid w:val="008C356E"/>
    <w:rsid w:val="008C4719"/>
    <w:rsid w:val="008C736E"/>
    <w:rsid w:val="008C7F36"/>
    <w:rsid w:val="008D2A4C"/>
    <w:rsid w:val="008D31AD"/>
    <w:rsid w:val="008D3FD1"/>
    <w:rsid w:val="008D4272"/>
    <w:rsid w:val="008D599A"/>
    <w:rsid w:val="008D6A26"/>
    <w:rsid w:val="008D703B"/>
    <w:rsid w:val="008E0885"/>
    <w:rsid w:val="00903641"/>
    <w:rsid w:val="009122E7"/>
    <w:rsid w:val="00922257"/>
    <w:rsid w:val="00933D81"/>
    <w:rsid w:val="00937BDA"/>
    <w:rsid w:val="00951D96"/>
    <w:rsid w:val="009560BB"/>
    <w:rsid w:val="009617E8"/>
    <w:rsid w:val="009641D4"/>
    <w:rsid w:val="00964862"/>
    <w:rsid w:val="00976E2D"/>
    <w:rsid w:val="00981CD8"/>
    <w:rsid w:val="00986F58"/>
    <w:rsid w:val="00997398"/>
    <w:rsid w:val="009A2A97"/>
    <w:rsid w:val="009B06CE"/>
    <w:rsid w:val="009B4AFF"/>
    <w:rsid w:val="009B66AC"/>
    <w:rsid w:val="009C31D6"/>
    <w:rsid w:val="009C6DCB"/>
    <w:rsid w:val="009D1889"/>
    <w:rsid w:val="009D34AD"/>
    <w:rsid w:val="009E0823"/>
    <w:rsid w:val="009E3D92"/>
    <w:rsid w:val="009E7CDF"/>
    <w:rsid w:val="009F260C"/>
    <w:rsid w:val="00A0076E"/>
    <w:rsid w:val="00A06C39"/>
    <w:rsid w:val="00A12E4C"/>
    <w:rsid w:val="00A1354B"/>
    <w:rsid w:val="00A2490A"/>
    <w:rsid w:val="00A27173"/>
    <w:rsid w:val="00A33858"/>
    <w:rsid w:val="00A37269"/>
    <w:rsid w:val="00A432F9"/>
    <w:rsid w:val="00A46E6A"/>
    <w:rsid w:val="00A52FC9"/>
    <w:rsid w:val="00A531AB"/>
    <w:rsid w:val="00A60DDD"/>
    <w:rsid w:val="00A6161A"/>
    <w:rsid w:val="00A62D96"/>
    <w:rsid w:val="00A6614D"/>
    <w:rsid w:val="00A6699C"/>
    <w:rsid w:val="00A739DE"/>
    <w:rsid w:val="00A75811"/>
    <w:rsid w:val="00A8194A"/>
    <w:rsid w:val="00A8695D"/>
    <w:rsid w:val="00AA4055"/>
    <w:rsid w:val="00AB175A"/>
    <w:rsid w:val="00AC3ED7"/>
    <w:rsid w:val="00AE014A"/>
    <w:rsid w:val="00AE0647"/>
    <w:rsid w:val="00AE0A36"/>
    <w:rsid w:val="00AE0AAA"/>
    <w:rsid w:val="00AE5A5F"/>
    <w:rsid w:val="00AE7F5D"/>
    <w:rsid w:val="00AF25D4"/>
    <w:rsid w:val="00B00390"/>
    <w:rsid w:val="00B014FF"/>
    <w:rsid w:val="00B054D1"/>
    <w:rsid w:val="00B13F03"/>
    <w:rsid w:val="00B158B5"/>
    <w:rsid w:val="00B16A1D"/>
    <w:rsid w:val="00B22F69"/>
    <w:rsid w:val="00B33B44"/>
    <w:rsid w:val="00B3641F"/>
    <w:rsid w:val="00B447A9"/>
    <w:rsid w:val="00B502F4"/>
    <w:rsid w:val="00B53086"/>
    <w:rsid w:val="00B53633"/>
    <w:rsid w:val="00B5619F"/>
    <w:rsid w:val="00B6230D"/>
    <w:rsid w:val="00B63C27"/>
    <w:rsid w:val="00B7508E"/>
    <w:rsid w:val="00B82D1C"/>
    <w:rsid w:val="00B838DD"/>
    <w:rsid w:val="00B849A9"/>
    <w:rsid w:val="00B86DE8"/>
    <w:rsid w:val="00B87B52"/>
    <w:rsid w:val="00B90BB1"/>
    <w:rsid w:val="00B92C24"/>
    <w:rsid w:val="00B9384E"/>
    <w:rsid w:val="00B97169"/>
    <w:rsid w:val="00B97F86"/>
    <w:rsid w:val="00BA1997"/>
    <w:rsid w:val="00BA36B9"/>
    <w:rsid w:val="00BA5FC2"/>
    <w:rsid w:val="00BA6A03"/>
    <w:rsid w:val="00BC1840"/>
    <w:rsid w:val="00BC3D3C"/>
    <w:rsid w:val="00BD2416"/>
    <w:rsid w:val="00BE0A8C"/>
    <w:rsid w:val="00BE19A5"/>
    <w:rsid w:val="00BE3412"/>
    <w:rsid w:val="00BE6135"/>
    <w:rsid w:val="00BE61A3"/>
    <w:rsid w:val="00BE7B4C"/>
    <w:rsid w:val="00BF0CBD"/>
    <w:rsid w:val="00BF470D"/>
    <w:rsid w:val="00BF5ACB"/>
    <w:rsid w:val="00BF676D"/>
    <w:rsid w:val="00C04858"/>
    <w:rsid w:val="00C055A6"/>
    <w:rsid w:val="00C068C1"/>
    <w:rsid w:val="00C165DD"/>
    <w:rsid w:val="00C16A69"/>
    <w:rsid w:val="00C21DB6"/>
    <w:rsid w:val="00C22727"/>
    <w:rsid w:val="00C241C2"/>
    <w:rsid w:val="00C26712"/>
    <w:rsid w:val="00C269BC"/>
    <w:rsid w:val="00C326F9"/>
    <w:rsid w:val="00C45BAB"/>
    <w:rsid w:val="00C51088"/>
    <w:rsid w:val="00C52058"/>
    <w:rsid w:val="00C568F3"/>
    <w:rsid w:val="00C57C73"/>
    <w:rsid w:val="00C60F68"/>
    <w:rsid w:val="00C61414"/>
    <w:rsid w:val="00C66F6B"/>
    <w:rsid w:val="00C72316"/>
    <w:rsid w:val="00C753E8"/>
    <w:rsid w:val="00C761D5"/>
    <w:rsid w:val="00C775D3"/>
    <w:rsid w:val="00C80B30"/>
    <w:rsid w:val="00C90999"/>
    <w:rsid w:val="00C97594"/>
    <w:rsid w:val="00CB3A1D"/>
    <w:rsid w:val="00CC095F"/>
    <w:rsid w:val="00CC65A7"/>
    <w:rsid w:val="00CD301E"/>
    <w:rsid w:val="00CE0C2D"/>
    <w:rsid w:val="00CE12CC"/>
    <w:rsid w:val="00CF1F55"/>
    <w:rsid w:val="00CF37DC"/>
    <w:rsid w:val="00D00A40"/>
    <w:rsid w:val="00D06290"/>
    <w:rsid w:val="00D12211"/>
    <w:rsid w:val="00D14C2A"/>
    <w:rsid w:val="00D16D5B"/>
    <w:rsid w:val="00D17B01"/>
    <w:rsid w:val="00D22600"/>
    <w:rsid w:val="00D358AE"/>
    <w:rsid w:val="00D420DB"/>
    <w:rsid w:val="00D45218"/>
    <w:rsid w:val="00D50CBE"/>
    <w:rsid w:val="00D53E9C"/>
    <w:rsid w:val="00D60138"/>
    <w:rsid w:val="00D63B57"/>
    <w:rsid w:val="00D701AB"/>
    <w:rsid w:val="00D7294C"/>
    <w:rsid w:val="00D80279"/>
    <w:rsid w:val="00D911DF"/>
    <w:rsid w:val="00D9520C"/>
    <w:rsid w:val="00DA13FD"/>
    <w:rsid w:val="00DB7FD3"/>
    <w:rsid w:val="00DC031B"/>
    <w:rsid w:val="00DD17C6"/>
    <w:rsid w:val="00DD22CA"/>
    <w:rsid w:val="00DD5D47"/>
    <w:rsid w:val="00DD5F08"/>
    <w:rsid w:val="00DE107C"/>
    <w:rsid w:val="00DE6414"/>
    <w:rsid w:val="00DE6AED"/>
    <w:rsid w:val="00DF23F6"/>
    <w:rsid w:val="00DF75CB"/>
    <w:rsid w:val="00DF77D7"/>
    <w:rsid w:val="00DF7CF4"/>
    <w:rsid w:val="00E05FBE"/>
    <w:rsid w:val="00E10049"/>
    <w:rsid w:val="00E15D27"/>
    <w:rsid w:val="00E20D96"/>
    <w:rsid w:val="00E22B94"/>
    <w:rsid w:val="00E416B2"/>
    <w:rsid w:val="00E45299"/>
    <w:rsid w:val="00E51894"/>
    <w:rsid w:val="00E56A6D"/>
    <w:rsid w:val="00E56FC5"/>
    <w:rsid w:val="00E62684"/>
    <w:rsid w:val="00E64C85"/>
    <w:rsid w:val="00E715D5"/>
    <w:rsid w:val="00E72A44"/>
    <w:rsid w:val="00E73A71"/>
    <w:rsid w:val="00E8026D"/>
    <w:rsid w:val="00E83751"/>
    <w:rsid w:val="00E94489"/>
    <w:rsid w:val="00EA480D"/>
    <w:rsid w:val="00EB2DFA"/>
    <w:rsid w:val="00EB3C79"/>
    <w:rsid w:val="00EB620D"/>
    <w:rsid w:val="00EC3430"/>
    <w:rsid w:val="00EC5837"/>
    <w:rsid w:val="00EC6455"/>
    <w:rsid w:val="00ED61C7"/>
    <w:rsid w:val="00EE1476"/>
    <w:rsid w:val="00EE19F7"/>
    <w:rsid w:val="00EE1A95"/>
    <w:rsid w:val="00EE526A"/>
    <w:rsid w:val="00EF27EE"/>
    <w:rsid w:val="00EF3321"/>
    <w:rsid w:val="00EF67FC"/>
    <w:rsid w:val="00F00705"/>
    <w:rsid w:val="00F02C0D"/>
    <w:rsid w:val="00F03855"/>
    <w:rsid w:val="00F074BA"/>
    <w:rsid w:val="00F076DF"/>
    <w:rsid w:val="00F15BEA"/>
    <w:rsid w:val="00F20B0B"/>
    <w:rsid w:val="00F2462A"/>
    <w:rsid w:val="00F2596F"/>
    <w:rsid w:val="00F31B3A"/>
    <w:rsid w:val="00F347B3"/>
    <w:rsid w:val="00F35B75"/>
    <w:rsid w:val="00F362D2"/>
    <w:rsid w:val="00F41405"/>
    <w:rsid w:val="00F4187B"/>
    <w:rsid w:val="00F51525"/>
    <w:rsid w:val="00F55A25"/>
    <w:rsid w:val="00F55F78"/>
    <w:rsid w:val="00F65D1B"/>
    <w:rsid w:val="00F70230"/>
    <w:rsid w:val="00F81D48"/>
    <w:rsid w:val="00F826A5"/>
    <w:rsid w:val="00F9033C"/>
    <w:rsid w:val="00F91312"/>
    <w:rsid w:val="00F935E4"/>
    <w:rsid w:val="00FB1603"/>
    <w:rsid w:val="00FB57FE"/>
    <w:rsid w:val="00FB74F7"/>
    <w:rsid w:val="00FD24F2"/>
    <w:rsid w:val="00FD5D12"/>
    <w:rsid w:val="00FD7E10"/>
    <w:rsid w:val="00FE354F"/>
    <w:rsid w:val="00FF1E0A"/>
    <w:rsid w:val="07651FEC"/>
    <w:rsid w:val="084677C6"/>
    <w:rsid w:val="0BB7F85B"/>
    <w:rsid w:val="0C416D43"/>
    <w:rsid w:val="12E5F880"/>
    <w:rsid w:val="13A67196"/>
    <w:rsid w:val="22F9881C"/>
    <w:rsid w:val="3455DDCC"/>
    <w:rsid w:val="39C0D70F"/>
    <w:rsid w:val="3E6EAD67"/>
    <w:rsid w:val="452DA47E"/>
    <w:rsid w:val="499901C7"/>
    <w:rsid w:val="57E033DE"/>
    <w:rsid w:val="5D50A925"/>
    <w:rsid w:val="6689BA26"/>
    <w:rsid w:val="78DDFB57"/>
    <w:rsid w:val="7FC8218A"/>
    <w:rsid w:val="7FE9E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A21DB"/>
  <w15:chartTrackingRefBased/>
  <w15:docId w15:val="{ADAA9797-83D0-4721-ADF6-75222D8D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E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E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E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E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E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E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E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E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E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E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E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E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E88"/>
    <w:rPr>
      <w:rFonts w:eastAsiaTheme="majorEastAsia" w:cstheme="majorBidi"/>
      <w:color w:val="272727" w:themeColor="text1" w:themeTint="D8"/>
    </w:rPr>
  </w:style>
  <w:style w:type="paragraph" w:styleId="Title">
    <w:name w:val="Title"/>
    <w:basedOn w:val="Normal"/>
    <w:next w:val="Normal"/>
    <w:link w:val="TitleChar"/>
    <w:uiPriority w:val="10"/>
    <w:qFormat/>
    <w:rsid w:val="00334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E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E88"/>
    <w:pPr>
      <w:spacing w:before="160"/>
      <w:jc w:val="center"/>
    </w:pPr>
    <w:rPr>
      <w:i/>
      <w:iCs/>
      <w:color w:val="404040" w:themeColor="text1" w:themeTint="BF"/>
    </w:rPr>
  </w:style>
  <w:style w:type="character" w:customStyle="1" w:styleId="QuoteChar">
    <w:name w:val="Quote Char"/>
    <w:basedOn w:val="DefaultParagraphFont"/>
    <w:link w:val="Quote"/>
    <w:uiPriority w:val="29"/>
    <w:rsid w:val="00334E88"/>
    <w:rPr>
      <w:i/>
      <w:iCs/>
      <w:color w:val="404040" w:themeColor="text1" w:themeTint="BF"/>
    </w:rPr>
  </w:style>
  <w:style w:type="paragraph" w:styleId="ListParagraph">
    <w:name w:val="List Paragraph"/>
    <w:basedOn w:val="Normal"/>
    <w:uiPriority w:val="34"/>
    <w:qFormat/>
    <w:rsid w:val="00334E88"/>
    <w:pPr>
      <w:ind w:left="720"/>
      <w:contextualSpacing/>
    </w:pPr>
  </w:style>
  <w:style w:type="character" w:styleId="IntenseEmphasis">
    <w:name w:val="Intense Emphasis"/>
    <w:basedOn w:val="DefaultParagraphFont"/>
    <w:uiPriority w:val="21"/>
    <w:qFormat/>
    <w:rsid w:val="00334E88"/>
    <w:rPr>
      <w:i/>
      <w:iCs/>
      <w:color w:val="0F4761" w:themeColor="accent1" w:themeShade="BF"/>
    </w:rPr>
  </w:style>
  <w:style w:type="paragraph" w:styleId="IntenseQuote">
    <w:name w:val="Intense Quote"/>
    <w:basedOn w:val="Normal"/>
    <w:next w:val="Normal"/>
    <w:link w:val="IntenseQuoteChar"/>
    <w:uiPriority w:val="30"/>
    <w:qFormat/>
    <w:rsid w:val="00334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E88"/>
    <w:rPr>
      <w:i/>
      <w:iCs/>
      <w:color w:val="0F4761" w:themeColor="accent1" w:themeShade="BF"/>
    </w:rPr>
  </w:style>
  <w:style w:type="character" w:styleId="IntenseReference">
    <w:name w:val="Intense Reference"/>
    <w:basedOn w:val="DefaultParagraphFont"/>
    <w:uiPriority w:val="32"/>
    <w:qFormat/>
    <w:rsid w:val="00334E88"/>
    <w:rPr>
      <w:b/>
      <w:bCs/>
      <w:smallCaps/>
      <w:color w:val="0F4761" w:themeColor="accent1" w:themeShade="BF"/>
      <w:spacing w:val="5"/>
    </w:rPr>
  </w:style>
  <w:style w:type="character" w:styleId="CommentReference">
    <w:name w:val="annotation reference"/>
    <w:basedOn w:val="DefaultParagraphFont"/>
    <w:uiPriority w:val="99"/>
    <w:semiHidden/>
    <w:unhideWhenUsed/>
    <w:rsid w:val="00B054D1"/>
    <w:rPr>
      <w:sz w:val="16"/>
      <w:szCs w:val="16"/>
    </w:rPr>
  </w:style>
  <w:style w:type="paragraph" w:styleId="CommentText">
    <w:name w:val="annotation text"/>
    <w:basedOn w:val="Normal"/>
    <w:link w:val="CommentTextChar"/>
    <w:uiPriority w:val="99"/>
    <w:unhideWhenUsed/>
    <w:rsid w:val="00B054D1"/>
    <w:pPr>
      <w:spacing w:line="240" w:lineRule="auto"/>
    </w:pPr>
    <w:rPr>
      <w:sz w:val="20"/>
      <w:szCs w:val="20"/>
    </w:rPr>
  </w:style>
  <w:style w:type="character" w:customStyle="1" w:styleId="CommentTextChar">
    <w:name w:val="Comment Text Char"/>
    <w:basedOn w:val="DefaultParagraphFont"/>
    <w:link w:val="CommentText"/>
    <w:uiPriority w:val="99"/>
    <w:rsid w:val="00B054D1"/>
    <w:rPr>
      <w:sz w:val="20"/>
      <w:szCs w:val="20"/>
    </w:rPr>
  </w:style>
  <w:style w:type="paragraph" w:styleId="CommentSubject">
    <w:name w:val="annotation subject"/>
    <w:basedOn w:val="CommentText"/>
    <w:next w:val="CommentText"/>
    <w:link w:val="CommentSubjectChar"/>
    <w:uiPriority w:val="99"/>
    <w:semiHidden/>
    <w:unhideWhenUsed/>
    <w:rsid w:val="00B054D1"/>
    <w:rPr>
      <w:b/>
      <w:bCs/>
    </w:rPr>
  </w:style>
  <w:style w:type="character" w:customStyle="1" w:styleId="CommentSubjectChar">
    <w:name w:val="Comment Subject Char"/>
    <w:basedOn w:val="CommentTextChar"/>
    <w:link w:val="CommentSubject"/>
    <w:uiPriority w:val="99"/>
    <w:semiHidden/>
    <w:rsid w:val="00B054D1"/>
    <w:rPr>
      <w:b/>
      <w:bCs/>
      <w:sz w:val="20"/>
      <w:szCs w:val="20"/>
    </w:rPr>
  </w:style>
  <w:style w:type="paragraph" w:styleId="NormalWeb">
    <w:name w:val="Normal (Web)"/>
    <w:basedOn w:val="Normal"/>
    <w:uiPriority w:val="99"/>
    <w:semiHidden/>
    <w:unhideWhenUsed/>
    <w:rsid w:val="002D6700"/>
    <w:rPr>
      <w:rFonts w:ascii="Times New Roman" w:hAnsi="Times New Roman" w:cs="Times New Roman"/>
    </w:rPr>
  </w:style>
  <w:style w:type="paragraph" w:styleId="Revision">
    <w:name w:val="Revision"/>
    <w:hidden/>
    <w:uiPriority w:val="99"/>
    <w:semiHidden/>
    <w:rsid w:val="002C79DF"/>
    <w:pPr>
      <w:spacing w:after="0" w:line="240" w:lineRule="auto"/>
    </w:pPr>
  </w:style>
  <w:style w:type="paragraph" w:styleId="Header">
    <w:name w:val="header"/>
    <w:basedOn w:val="Normal"/>
    <w:link w:val="HeaderChar"/>
    <w:uiPriority w:val="99"/>
    <w:unhideWhenUsed/>
    <w:rsid w:val="00951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D96"/>
  </w:style>
  <w:style w:type="paragraph" w:styleId="Footer">
    <w:name w:val="footer"/>
    <w:basedOn w:val="Normal"/>
    <w:link w:val="FooterChar"/>
    <w:uiPriority w:val="99"/>
    <w:unhideWhenUsed/>
    <w:rsid w:val="00951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D96"/>
  </w:style>
  <w:style w:type="character" w:styleId="Hyperlink">
    <w:name w:val="Hyperlink"/>
    <w:basedOn w:val="DefaultParagraphFont"/>
    <w:uiPriority w:val="99"/>
    <w:unhideWhenUsed/>
    <w:rsid w:val="00964862"/>
    <w:rPr>
      <w:color w:val="467886" w:themeColor="hyperlink"/>
      <w:u w:val="single"/>
    </w:rPr>
  </w:style>
  <w:style w:type="character" w:customStyle="1" w:styleId="UnresolvedMention1">
    <w:name w:val="Unresolved Mention1"/>
    <w:basedOn w:val="DefaultParagraphFont"/>
    <w:uiPriority w:val="99"/>
    <w:semiHidden/>
    <w:unhideWhenUsed/>
    <w:rsid w:val="00964862"/>
    <w:rPr>
      <w:color w:val="605E5C"/>
      <w:shd w:val="clear" w:color="auto" w:fill="E1DFDD"/>
    </w:rPr>
  </w:style>
  <w:style w:type="paragraph" w:styleId="BalloonText">
    <w:name w:val="Balloon Text"/>
    <w:basedOn w:val="Normal"/>
    <w:link w:val="BalloonTextChar"/>
    <w:uiPriority w:val="99"/>
    <w:semiHidden/>
    <w:unhideWhenUsed/>
    <w:rsid w:val="00F02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1148">
      <w:bodyDiv w:val="1"/>
      <w:marLeft w:val="0"/>
      <w:marRight w:val="0"/>
      <w:marTop w:val="0"/>
      <w:marBottom w:val="0"/>
      <w:divBdr>
        <w:top w:val="none" w:sz="0" w:space="0" w:color="auto"/>
        <w:left w:val="none" w:sz="0" w:space="0" w:color="auto"/>
        <w:bottom w:val="none" w:sz="0" w:space="0" w:color="auto"/>
        <w:right w:val="none" w:sz="0" w:space="0" w:color="auto"/>
      </w:divBdr>
      <w:divsChild>
        <w:div w:id="308175609">
          <w:marLeft w:val="75"/>
          <w:marRight w:val="0"/>
          <w:marTop w:val="0"/>
          <w:marBottom w:val="0"/>
          <w:divBdr>
            <w:top w:val="none" w:sz="0" w:space="0" w:color="auto"/>
            <w:left w:val="none" w:sz="0" w:space="0" w:color="auto"/>
            <w:bottom w:val="none" w:sz="0" w:space="0" w:color="auto"/>
            <w:right w:val="none" w:sz="0" w:space="0" w:color="auto"/>
          </w:divBdr>
        </w:div>
        <w:div w:id="604003290">
          <w:marLeft w:val="75"/>
          <w:marRight w:val="0"/>
          <w:marTop w:val="0"/>
          <w:marBottom w:val="0"/>
          <w:divBdr>
            <w:top w:val="none" w:sz="0" w:space="0" w:color="auto"/>
            <w:left w:val="none" w:sz="0" w:space="0" w:color="auto"/>
            <w:bottom w:val="none" w:sz="0" w:space="0" w:color="auto"/>
            <w:right w:val="none" w:sz="0" w:space="0" w:color="auto"/>
          </w:divBdr>
        </w:div>
        <w:div w:id="743769141">
          <w:marLeft w:val="75"/>
          <w:marRight w:val="0"/>
          <w:marTop w:val="0"/>
          <w:marBottom w:val="0"/>
          <w:divBdr>
            <w:top w:val="none" w:sz="0" w:space="0" w:color="auto"/>
            <w:left w:val="none" w:sz="0" w:space="0" w:color="auto"/>
            <w:bottom w:val="none" w:sz="0" w:space="0" w:color="auto"/>
            <w:right w:val="none" w:sz="0" w:space="0" w:color="auto"/>
          </w:divBdr>
        </w:div>
        <w:div w:id="1349913180">
          <w:marLeft w:val="75"/>
          <w:marRight w:val="0"/>
          <w:marTop w:val="0"/>
          <w:marBottom w:val="0"/>
          <w:divBdr>
            <w:top w:val="none" w:sz="0" w:space="0" w:color="auto"/>
            <w:left w:val="none" w:sz="0" w:space="0" w:color="auto"/>
            <w:bottom w:val="none" w:sz="0" w:space="0" w:color="auto"/>
            <w:right w:val="none" w:sz="0" w:space="0" w:color="auto"/>
          </w:divBdr>
        </w:div>
        <w:div w:id="1944341010">
          <w:marLeft w:val="75"/>
          <w:marRight w:val="0"/>
          <w:marTop w:val="0"/>
          <w:marBottom w:val="0"/>
          <w:divBdr>
            <w:top w:val="none" w:sz="0" w:space="0" w:color="auto"/>
            <w:left w:val="none" w:sz="0" w:space="0" w:color="auto"/>
            <w:bottom w:val="none" w:sz="0" w:space="0" w:color="auto"/>
            <w:right w:val="none" w:sz="0" w:space="0" w:color="auto"/>
          </w:divBdr>
        </w:div>
        <w:div w:id="2112970035">
          <w:marLeft w:val="75"/>
          <w:marRight w:val="0"/>
          <w:marTop w:val="0"/>
          <w:marBottom w:val="0"/>
          <w:divBdr>
            <w:top w:val="none" w:sz="0" w:space="0" w:color="auto"/>
            <w:left w:val="none" w:sz="0" w:space="0" w:color="auto"/>
            <w:bottom w:val="none" w:sz="0" w:space="0" w:color="auto"/>
            <w:right w:val="none" w:sz="0" w:space="0" w:color="auto"/>
          </w:divBdr>
        </w:div>
      </w:divsChild>
    </w:div>
    <w:div w:id="104230949">
      <w:bodyDiv w:val="1"/>
      <w:marLeft w:val="0"/>
      <w:marRight w:val="0"/>
      <w:marTop w:val="0"/>
      <w:marBottom w:val="0"/>
      <w:divBdr>
        <w:top w:val="none" w:sz="0" w:space="0" w:color="auto"/>
        <w:left w:val="none" w:sz="0" w:space="0" w:color="auto"/>
        <w:bottom w:val="none" w:sz="0" w:space="0" w:color="auto"/>
        <w:right w:val="none" w:sz="0" w:space="0" w:color="auto"/>
      </w:divBdr>
    </w:div>
    <w:div w:id="204031441">
      <w:bodyDiv w:val="1"/>
      <w:marLeft w:val="0"/>
      <w:marRight w:val="0"/>
      <w:marTop w:val="0"/>
      <w:marBottom w:val="0"/>
      <w:divBdr>
        <w:top w:val="none" w:sz="0" w:space="0" w:color="auto"/>
        <w:left w:val="none" w:sz="0" w:space="0" w:color="auto"/>
        <w:bottom w:val="none" w:sz="0" w:space="0" w:color="auto"/>
        <w:right w:val="none" w:sz="0" w:space="0" w:color="auto"/>
      </w:divBdr>
    </w:div>
    <w:div w:id="251819439">
      <w:bodyDiv w:val="1"/>
      <w:marLeft w:val="0"/>
      <w:marRight w:val="0"/>
      <w:marTop w:val="0"/>
      <w:marBottom w:val="0"/>
      <w:divBdr>
        <w:top w:val="none" w:sz="0" w:space="0" w:color="auto"/>
        <w:left w:val="none" w:sz="0" w:space="0" w:color="auto"/>
        <w:bottom w:val="none" w:sz="0" w:space="0" w:color="auto"/>
        <w:right w:val="none" w:sz="0" w:space="0" w:color="auto"/>
      </w:divBdr>
      <w:divsChild>
        <w:div w:id="311521558">
          <w:marLeft w:val="0"/>
          <w:marRight w:val="0"/>
          <w:marTop w:val="0"/>
          <w:marBottom w:val="0"/>
          <w:divBdr>
            <w:top w:val="none" w:sz="0" w:space="0" w:color="auto"/>
            <w:left w:val="none" w:sz="0" w:space="0" w:color="auto"/>
            <w:bottom w:val="none" w:sz="0" w:space="0" w:color="auto"/>
            <w:right w:val="none" w:sz="0" w:space="0" w:color="auto"/>
          </w:divBdr>
          <w:divsChild>
            <w:div w:id="222375319">
              <w:marLeft w:val="75"/>
              <w:marRight w:val="75"/>
              <w:marTop w:val="300"/>
              <w:marBottom w:val="75"/>
              <w:divBdr>
                <w:top w:val="none" w:sz="0" w:space="0" w:color="auto"/>
                <w:left w:val="none" w:sz="0" w:space="0" w:color="auto"/>
                <w:bottom w:val="none" w:sz="0" w:space="0" w:color="auto"/>
                <w:right w:val="none" w:sz="0" w:space="0" w:color="auto"/>
              </w:divBdr>
              <w:divsChild>
                <w:div w:id="3023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30189">
          <w:marLeft w:val="0"/>
          <w:marRight w:val="0"/>
          <w:marTop w:val="0"/>
          <w:marBottom w:val="0"/>
          <w:divBdr>
            <w:top w:val="none" w:sz="0" w:space="0" w:color="auto"/>
            <w:left w:val="none" w:sz="0" w:space="0" w:color="auto"/>
            <w:bottom w:val="none" w:sz="0" w:space="0" w:color="auto"/>
            <w:right w:val="none" w:sz="0" w:space="0" w:color="auto"/>
          </w:divBdr>
          <w:divsChild>
            <w:div w:id="260376844">
              <w:marLeft w:val="75"/>
              <w:marRight w:val="75"/>
              <w:marTop w:val="300"/>
              <w:marBottom w:val="75"/>
              <w:divBdr>
                <w:top w:val="none" w:sz="0" w:space="0" w:color="auto"/>
                <w:left w:val="none" w:sz="0" w:space="0" w:color="auto"/>
                <w:bottom w:val="none" w:sz="0" w:space="0" w:color="auto"/>
                <w:right w:val="none" w:sz="0" w:space="0" w:color="auto"/>
              </w:divBdr>
              <w:divsChild>
                <w:div w:id="1805655042">
                  <w:marLeft w:val="0"/>
                  <w:marRight w:val="0"/>
                  <w:marTop w:val="0"/>
                  <w:marBottom w:val="0"/>
                  <w:divBdr>
                    <w:top w:val="none" w:sz="0" w:space="0" w:color="auto"/>
                    <w:left w:val="none" w:sz="0" w:space="0" w:color="auto"/>
                    <w:bottom w:val="none" w:sz="0" w:space="0" w:color="auto"/>
                    <w:right w:val="none" w:sz="0" w:space="0" w:color="auto"/>
                  </w:divBdr>
                  <w:divsChild>
                    <w:div w:id="5358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00064">
          <w:marLeft w:val="0"/>
          <w:marRight w:val="0"/>
          <w:marTop w:val="0"/>
          <w:marBottom w:val="0"/>
          <w:divBdr>
            <w:top w:val="none" w:sz="0" w:space="0" w:color="auto"/>
            <w:left w:val="none" w:sz="0" w:space="0" w:color="auto"/>
            <w:bottom w:val="none" w:sz="0" w:space="0" w:color="auto"/>
            <w:right w:val="none" w:sz="0" w:space="0" w:color="auto"/>
          </w:divBdr>
          <w:divsChild>
            <w:div w:id="276259078">
              <w:marLeft w:val="75"/>
              <w:marRight w:val="75"/>
              <w:marTop w:val="300"/>
              <w:marBottom w:val="75"/>
              <w:divBdr>
                <w:top w:val="none" w:sz="0" w:space="0" w:color="auto"/>
                <w:left w:val="none" w:sz="0" w:space="0" w:color="auto"/>
                <w:bottom w:val="none" w:sz="0" w:space="0" w:color="auto"/>
                <w:right w:val="none" w:sz="0" w:space="0" w:color="auto"/>
              </w:divBdr>
              <w:divsChild>
                <w:div w:id="1084688962">
                  <w:marLeft w:val="0"/>
                  <w:marRight w:val="0"/>
                  <w:marTop w:val="0"/>
                  <w:marBottom w:val="0"/>
                  <w:divBdr>
                    <w:top w:val="none" w:sz="0" w:space="0" w:color="auto"/>
                    <w:left w:val="none" w:sz="0" w:space="0" w:color="auto"/>
                    <w:bottom w:val="none" w:sz="0" w:space="0" w:color="auto"/>
                    <w:right w:val="none" w:sz="0" w:space="0" w:color="auto"/>
                  </w:divBdr>
                  <w:divsChild>
                    <w:div w:id="9008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29728">
      <w:bodyDiv w:val="1"/>
      <w:marLeft w:val="0"/>
      <w:marRight w:val="0"/>
      <w:marTop w:val="0"/>
      <w:marBottom w:val="0"/>
      <w:divBdr>
        <w:top w:val="none" w:sz="0" w:space="0" w:color="auto"/>
        <w:left w:val="none" w:sz="0" w:space="0" w:color="auto"/>
        <w:bottom w:val="none" w:sz="0" w:space="0" w:color="auto"/>
        <w:right w:val="none" w:sz="0" w:space="0" w:color="auto"/>
      </w:divBdr>
      <w:divsChild>
        <w:div w:id="173080583">
          <w:marLeft w:val="75"/>
          <w:marRight w:val="0"/>
          <w:marTop w:val="0"/>
          <w:marBottom w:val="0"/>
          <w:divBdr>
            <w:top w:val="none" w:sz="0" w:space="0" w:color="auto"/>
            <w:left w:val="none" w:sz="0" w:space="0" w:color="auto"/>
            <w:bottom w:val="none" w:sz="0" w:space="0" w:color="auto"/>
            <w:right w:val="none" w:sz="0" w:space="0" w:color="auto"/>
          </w:divBdr>
        </w:div>
        <w:div w:id="505365758">
          <w:marLeft w:val="75"/>
          <w:marRight w:val="0"/>
          <w:marTop w:val="0"/>
          <w:marBottom w:val="0"/>
          <w:divBdr>
            <w:top w:val="none" w:sz="0" w:space="0" w:color="auto"/>
            <w:left w:val="none" w:sz="0" w:space="0" w:color="auto"/>
            <w:bottom w:val="none" w:sz="0" w:space="0" w:color="auto"/>
            <w:right w:val="none" w:sz="0" w:space="0" w:color="auto"/>
          </w:divBdr>
        </w:div>
        <w:div w:id="1679624112">
          <w:marLeft w:val="75"/>
          <w:marRight w:val="0"/>
          <w:marTop w:val="0"/>
          <w:marBottom w:val="0"/>
          <w:divBdr>
            <w:top w:val="none" w:sz="0" w:space="0" w:color="auto"/>
            <w:left w:val="none" w:sz="0" w:space="0" w:color="auto"/>
            <w:bottom w:val="none" w:sz="0" w:space="0" w:color="auto"/>
            <w:right w:val="none" w:sz="0" w:space="0" w:color="auto"/>
          </w:divBdr>
        </w:div>
        <w:div w:id="1934625836">
          <w:marLeft w:val="75"/>
          <w:marRight w:val="0"/>
          <w:marTop w:val="0"/>
          <w:marBottom w:val="0"/>
          <w:divBdr>
            <w:top w:val="none" w:sz="0" w:space="0" w:color="auto"/>
            <w:left w:val="none" w:sz="0" w:space="0" w:color="auto"/>
            <w:bottom w:val="none" w:sz="0" w:space="0" w:color="auto"/>
            <w:right w:val="none" w:sz="0" w:space="0" w:color="auto"/>
          </w:divBdr>
        </w:div>
        <w:div w:id="2024896550">
          <w:marLeft w:val="75"/>
          <w:marRight w:val="0"/>
          <w:marTop w:val="0"/>
          <w:marBottom w:val="0"/>
          <w:divBdr>
            <w:top w:val="none" w:sz="0" w:space="0" w:color="auto"/>
            <w:left w:val="none" w:sz="0" w:space="0" w:color="auto"/>
            <w:bottom w:val="none" w:sz="0" w:space="0" w:color="auto"/>
            <w:right w:val="none" w:sz="0" w:space="0" w:color="auto"/>
          </w:divBdr>
        </w:div>
      </w:divsChild>
    </w:div>
    <w:div w:id="371542941">
      <w:bodyDiv w:val="1"/>
      <w:marLeft w:val="0"/>
      <w:marRight w:val="0"/>
      <w:marTop w:val="0"/>
      <w:marBottom w:val="0"/>
      <w:divBdr>
        <w:top w:val="none" w:sz="0" w:space="0" w:color="auto"/>
        <w:left w:val="none" w:sz="0" w:space="0" w:color="auto"/>
        <w:bottom w:val="none" w:sz="0" w:space="0" w:color="auto"/>
        <w:right w:val="none" w:sz="0" w:space="0" w:color="auto"/>
      </w:divBdr>
    </w:div>
    <w:div w:id="379398783">
      <w:bodyDiv w:val="1"/>
      <w:marLeft w:val="0"/>
      <w:marRight w:val="0"/>
      <w:marTop w:val="0"/>
      <w:marBottom w:val="0"/>
      <w:divBdr>
        <w:top w:val="none" w:sz="0" w:space="0" w:color="auto"/>
        <w:left w:val="none" w:sz="0" w:space="0" w:color="auto"/>
        <w:bottom w:val="none" w:sz="0" w:space="0" w:color="auto"/>
        <w:right w:val="none" w:sz="0" w:space="0" w:color="auto"/>
      </w:divBdr>
    </w:div>
    <w:div w:id="420874112">
      <w:bodyDiv w:val="1"/>
      <w:marLeft w:val="0"/>
      <w:marRight w:val="0"/>
      <w:marTop w:val="0"/>
      <w:marBottom w:val="0"/>
      <w:divBdr>
        <w:top w:val="none" w:sz="0" w:space="0" w:color="auto"/>
        <w:left w:val="none" w:sz="0" w:space="0" w:color="auto"/>
        <w:bottom w:val="none" w:sz="0" w:space="0" w:color="auto"/>
        <w:right w:val="none" w:sz="0" w:space="0" w:color="auto"/>
      </w:divBdr>
    </w:div>
    <w:div w:id="473791940">
      <w:bodyDiv w:val="1"/>
      <w:marLeft w:val="0"/>
      <w:marRight w:val="0"/>
      <w:marTop w:val="0"/>
      <w:marBottom w:val="0"/>
      <w:divBdr>
        <w:top w:val="none" w:sz="0" w:space="0" w:color="auto"/>
        <w:left w:val="none" w:sz="0" w:space="0" w:color="auto"/>
        <w:bottom w:val="none" w:sz="0" w:space="0" w:color="auto"/>
        <w:right w:val="none" w:sz="0" w:space="0" w:color="auto"/>
      </w:divBdr>
    </w:div>
    <w:div w:id="608855235">
      <w:bodyDiv w:val="1"/>
      <w:marLeft w:val="0"/>
      <w:marRight w:val="0"/>
      <w:marTop w:val="0"/>
      <w:marBottom w:val="0"/>
      <w:divBdr>
        <w:top w:val="none" w:sz="0" w:space="0" w:color="auto"/>
        <w:left w:val="none" w:sz="0" w:space="0" w:color="auto"/>
        <w:bottom w:val="none" w:sz="0" w:space="0" w:color="auto"/>
        <w:right w:val="none" w:sz="0" w:space="0" w:color="auto"/>
      </w:divBdr>
      <w:divsChild>
        <w:div w:id="534735534">
          <w:marLeft w:val="75"/>
          <w:marRight w:val="0"/>
          <w:marTop w:val="0"/>
          <w:marBottom w:val="0"/>
          <w:divBdr>
            <w:top w:val="none" w:sz="0" w:space="0" w:color="auto"/>
            <w:left w:val="none" w:sz="0" w:space="0" w:color="auto"/>
            <w:bottom w:val="none" w:sz="0" w:space="0" w:color="auto"/>
            <w:right w:val="none" w:sz="0" w:space="0" w:color="auto"/>
          </w:divBdr>
        </w:div>
        <w:div w:id="550576440">
          <w:marLeft w:val="75"/>
          <w:marRight w:val="0"/>
          <w:marTop w:val="0"/>
          <w:marBottom w:val="0"/>
          <w:divBdr>
            <w:top w:val="none" w:sz="0" w:space="0" w:color="auto"/>
            <w:left w:val="none" w:sz="0" w:space="0" w:color="auto"/>
            <w:bottom w:val="none" w:sz="0" w:space="0" w:color="auto"/>
            <w:right w:val="none" w:sz="0" w:space="0" w:color="auto"/>
          </w:divBdr>
        </w:div>
        <w:div w:id="1177960623">
          <w:marLeft w:val="75"/>
          <w:marRight w:val="0"/>
          <w:marTop w:val="0"/>
          <w:marBottom w:val="0"/>
          <w:divBdr>
            <w:top w:val="none" w:sz="0" w:space="0" w:color="auto"/>
            <w:left w:val="none" w:sz="0" w:space="0" w:color="auto"/>
            <w:bottom w:val="none" w:sz="0" w:space="0" w:color="auto"/>
            <w:right w:val="none" w:sz="0" w:space="0" w:color="auto"/>
          </w:divBdr>
        </w:div>
        <w:div w:id="1805149125">
          <w:marLeft w:val="75"/>
          <w:marRight w:val="0"/>
          <w:marTop w:val="0"/>
          <w:marBottom w:val="0"/>
          <w:divBdr>
            <w:top w:val="none" w:sz="0" w:space="0" w:color="auto"/>
            <w:left w:val="none" w:sz="0" w:space="0" w:color="auto"/>
            <w:bottom w:val="none" w:sz="0" w:space="0" w:color="auto"/>
            <w:right w:val="none" w:sz="0" w:space="0" w:color="auto"/>
          </w:divBdr>
        </w:div>
        <w:div w:id="2119060638">
          <w:marLeft w:val="75"/>
          <w:marRight w:val="0"/>
          <w:marTop w:val="0"/>
          <w:marBottom w:val="0"/>
          <w:divBdr>
            <w:top w:val="none" w:sz="0" w:space="0" w:color="auto"/>
            <w:left w:val="none" w:sz="0" w:space="0" w:color="auto"/>
            <w:bottom w:val="none" w:sz="0" w:space="0" w:color="auto"/>
            <w:right w:val="none" w:sz="0" w:space="0" w:color="auto"/>
          </w:divBdr>
        </w:div>
      </w:divsChild>
    </w:div>
    <w:div w:id="654264903">
      <w:bodyDiv w:val="1"/>
      <w:marLeft w:val="0"/>
      <w:marRight w:val="0"/>
      <w:marTop w:val="0"/>
      <w:marBottom w:val="0"/>
      <w:divBdr>
        <w:top w:val="none" w:sz="0" w:space="0" w:color="auto"/>
        <w:left w:val="none" w:sz="0" w:space="0" w:color="auto"/>
        <w:bottom w:val="none" w:sz="0" w:space="0" w:color="auto"/>
        <w:right w:val="none" w:sz="0" w:space="0" w:color="auto"/>
      </w:divBdr>
    </w:div>
    <w:div w:id="732003663">
      <w:bodyDiv w:val="1"/>
      <w:marLeft w:val="0"/>
      <w:marRight w:val="0"/>
      <w:marTop w:val="0"/>
      <w:marBottom w:val="0"/>
      <w:divBdr>
        <w:top w:val="none" w:sz="0" w:space="0" w:color="auto"/>
        <w:left w:val="none" w:sz="0" w:space="0" w:color="auto"/>
        <w:bottom w:val="none" w:sz="0" w:space="0" w:color="auto"/>
        <w:right w:val="none" w:sz="0" w:space="0" w:color="auto"/>
      </w:divBdr>
      <w:divsChild>
        <w:div w:id="1218316939">
          <w:marLeft w:val="75"/>
          <w:marRight w:val="0"/>
          <w:marTop w:val="0"/>
          <w:marBottom w:val="0"/>
          <w:divBdr>
            <w:top w:val="none" w:sz="0" w:space="0" w:color="auto"/>
            <w:left w:val="none" w:sz="0" w:space="0" w:color="auto"/>
            <w:bottom w:val="none" w:sz="0" w:space="0" w:color="auto"/>
            <w:right w:val="none" w:sz="0" w:space="0" w:color="auto"/>
          </w:divBdr>
        </w:div>
        <w:div w:id="1557232460">
          <w:marLeft w:val="75"/>
          <w:marRight w:val="0"/>
          <w:marTop w:val="0"/>
          <w:marBottom w:val="0"/>
          <w:divBdr>
            <w:top w:val="none" w:sz="0" w:space="0" w:color="auto"/>
            <w:left w:val="none" w:sz="0" w:space="0" w:color="auto"/>
            <w:bottom w:val="none" w:sz="0" w:space="0" w:color="auto"/>
            <w:right w:val="none" w:sz="0" w:space="0" w:color="auto"/>
          </w:divBdr>
        </w:div>
        <w:div w:id="1755011975">
          <w:marLeft w:val="75"/>
          <w:marRight w:val="0"/>
          <w:marTop w:val="0"/>
          <w:marBottom w:val="0"/>
          <w:divBdr>
            <w:top w:val="none" w:sz="0" w:space="0" w:color="auto"/>
            <w:left w:val="none" w:sz="0" w:space="0" w:color="auto"/>
            <w:bottom w:val="none" w:sz="0" w:space="0" w:color="auto"/>
            <w:right w:val="none" w:sz="0" w:space="0" w:color="auto"/>
          </w:divBdr>
        </w:div>
        <w:div w:id="1858153291">
          <w:marLeft w:val="75"/>
          <w:marRight w:val="0"/>
          <w:marTop w:val="0"/>
          <w:marBottom w:val="0"/>
          <w:divBdr>
            <w:top w:val="none" w:sz="0" w:space="0" w:color="auto"/>
            <w:left w:val="none" w:sz="0" w:space="0" w:color="auto"/>
            <w:bottom w:val="none" w:sz="0" w:space="0" w:color="auto"/>
            <w:right w:val="none" w:sz="0" w:space="0" w:color="auto"/>
          </w:divBdr>
        </w:div>
        <w:div w:id="2019043875">
          <w:marLeft w:val="75"/>
          <w:marRight w:val="0"/>
          <w:marTop w:val="0"/>
          <w:marBottom w:val="0"/>
          <w:divBdr>
            <w:top w:val="none" w:sz="0" w:space="0" w:color="auto"/>
            <w:left w:val="none" w:sz="0" w:space="0" w:color="auto"/>
            <w:bottom w:val="none" w:sz="0" w:space="0" w:color="auto"/>
            <w:right w:val="none" w:sz="0" w:space="0" w:color="auto"/>
          </w:divBdr>
        </w:div>
        <w:div w:id="2020620512">
          <w:marLeft w:val="75"/>
          <w:marRight w:val="0"/>
          <w:marTop w:val="0"/>
          <w:marBottom w:val="0"/>
          <w:divBdr>
            <w:top w:val="none" w:sz="0" w:space="0" w:color="auto"/>
            <w:left w:val="none" w:sz="0" w:space="0" w:color="auto"/>
            <w:bottom w:val="none" w:sz="0" w:space="0" w:color="auto"/>
            <w:right w:val="none" w:sz="0" w:space="0" w:color="auto"/>
          </w:divBdr>
        </w:div>
      </w:divsChild>
    </w:div>
    <w:div w:id="897326556">
      <w:bodyDiv w:val="1"/>
      <w:marLeft w:val="0"/>
      <w:marRight w:val="0"/>
      <w:marTop w:val="0"/>
      <w:marBottom w:val="0"/>
      <w:divBdr>
        <w:top w:val="none" w:sz="0" w:space="0" w:color="auto"/>
        <w:left w:val="none" w:sz="0" w:space="0" w:color="auto"/>
        <w:bottom w:val="none" w:sz="0" w:space="0" w:color="auto"/>
        <w:right w:val="none" w:sz="0" w:space="0" w:color="auto"/>
      </w:divBdr>
      <w:divsChild>
        <w:div w:id="87313693">
          <w:marLeft w:val="0"/>
          <w:marRight w:val="0"/>
          <w:marTop w:val="0"/>
          <w:marBottom w:val="0"/>
          <w:divBdr>
            <w:top w:val="none" w:sz="0" w:space="0" w:color="auto"/>
            <w:left w:val="none" w:sz="0" w:space="0" w:color="auto"/>
            <w:bottom w:val="none" w:sz="0" w:space="0" w:color="auto"/>
            <w:right w:val="none" w:sz="0" w:space="0" w:color="auto"/>
          </w:divBdr>
          <w:divsChild>
            <w:div w:id="1344672039">
              <w:marLeft w:val="75"/>
              <w:marRight w:val="75"/>
              <w:marTop w:val="300"/>
              <w:marBottom w:val="75"/>
              <w:divBdr>
                <w:top w:val="none" w:sz="0" w:space="0" w:color="auto"/>
                <w:left w:val="none" w:sz="0" w:space="0" w:color="auto"/>
                <w:bottom w:val="none" w:sz="0" w:space="0" w:color="auto"/>
                <w:right w:val="none" w:sz="0" w:space="0" w:color="auto"/>
              </w:divBdr>
              <w:divsChild>
                <w:div w:id="870074702">
                  <w:marLeft w:val="0"/>
                  <w:marRight w:val="0"/>
                  <w:marTop w:val="0"/>
                  <w:marBottom w:val="0"/>
                  <w:divBdr>
                    <w:top w:val="none" w:sz="0" w:space="0" w:color="auto"/>
                    <w:left w:val="none" w:sz="0" w:space="0" w:color="auto"/>
                    <w:bottom w:val="none" w:sz="0" w:space="0" w:color="auto"/>
                    <w:right w:val="none" w:sz="0" w:space="0" w:color="auto"/>
                  </w:divBdr>
                  <w:divsChild>
                    <w:div w:id="18448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3631">
          <w:marLeft w:val="0"/>
          <w:marRight w:val="0"/>
          <w:marTop w:val="0"/>
          <w:marBottom w:val="0"/>
          <w:divBdr>
            <w:top w:val="none" w:sz="0" w:space="0" w:color="auto"/>
            <w:left w:val="none" w:sz="0" w:space="0" w:color="auto"/>
            <w:bottom w:val="none" w:sz="0" w:space="0" w:color="auto"/>
            <w:right w:val="none" w:sz="0" w:space="0" w:color="auto"/>
          </w:divBdr>
          <w:divsChild>
            <w:div w:id="1023164812">
              <w:marLeft w:val="75"/>
              <w:marRight w:val="75"/>
              <w:marTop w:val="300"/>
              <w:marBottom w:val="75"/>
              <w:divBdr>
                <w:top w:val="none" w:sz="0" w:space="0" w:color="auto"/>
                <w:left w:val="none" w:sz="0" w:space="0" w:color="auto"/>
                <w:bottom w:val="none" w:sz="0" w:space="0" w:color="auto"/>
                <w:right w:val="none" w:sz="0" w:space="0" w:color="auto"/>
              </w:divBdr>
              <w:divsChild>
                <w:div w:id="1916475625">
                  <w:marLeft w:val="0"/>
                  <w:marRight w:val="0"/>
                  <w:marTop w:val="0"/>
                  <w:marBottom w:val="0"/>
                  <w:divBdr>
                    <w:top w:val="none" w:sz="0" w:space="0" w:color="auto"/>
                    <w:left w:val="none" w:sz="0" w:space="0" w:color="auto"/>
                    <w:bottom w:val="none" w:sz="0" w:space="0" w:color="auto"/>
                    <w:right w:val="none" w:sz="0" w:space="0" w:color="auto"/>
                  </w:divBdr>
                  <w:divsChild>
                    <w:div w:id="20112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20768">
          <w:marLeft w:val="0"/>
          <w:marRight w:val="0"/>
          <w:marTop w:val="0"/>
          <w:marBottom w:val="0"/>
          <w:divBdr>
            <w:top w:val="none" w:sz="0" w:space="0" w:color="auto"/>
            <w:left w:val="none" w:sz="0" w:space="0" w:color="auto"/>
            <w:bottom w:val="none" w:sz="0" w:space="0" w:color="auto"/>
            <w:right w:val="none" w:sz="0" w:space="0" w:color="auto"/>
          </w:divBdr>
          <w:divsChild>
            <w:div w:id="581334666">
              <w:marLeft w:val="75"/>
              <w:marRight w:val="75"/>
              <w:marTop w:val="300"/>
              <w:marBottom w:val="75"/>
              <w:divBdr>
                <w:top w:val="none" w:sz="0" w:space="0" w:color="auto"/>
                <w:left w:val="none" w:sz="0" w:space="0" w:color="auto"/>
                <w:bottom w:val="none" w:sz="0" w:space="0" w:color="auto"/>
                <w:right w:val="none" w:sz="0" w:space="0" w:color="auto"/>
              </w:divBdr>
              <w:divsChild>
                <w:div w:id="18853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3688">
      <w:bodyDiv w:val="1"/>
      <w:marLeft w:val="0"/>
      <w:marRight w:val="0"/>
      <w:marTop w:val="0"/>
      <w:marBottom w:val="0"/>
      <w:divBdr>
        <w:top w:val="none" w:sz="0" w:space="0" w:color="auto"/>
        <w:left w:val="none" w:sz="0" w:space="0" w:color="auto"/>
        <w:bottom w:val="none" w:sz="0" w:space="0" w:color="auto"/>
        <w:right w:val="none" w:sz="0" w:space="0" w:color="auto"/>
      </w:divBdr>
    </w:div>
    <w:div w:id="1311866128">
      <w:bodyDiv w:val="1"/>
      <w:marLeft w:val="0"/>
      <w:marRight w:val="0"/>
      <w:marTop w:val="0"/>
      <w:marBottom w:val="0"/>
      <w:divBdr>
        <w:top w:val="none" w:sz="0" w:space="0" w:color="auto"/>
        <w:left w:val="none" w:sz="0" w:space="0" w:color="auto"/>
        <w:bottom w:val="none" w:sz="0" w:space="0" w:color="auto"/>
        <w:right w:val="none" w:sz="0" w:space="0" w:color="auto"/>
      </w:divBdr>
    </w:div>
    <w:div w:id="2116095813">
      <w:bodyDiv w:val="1"/>
      <w:marLeft w:val="0"/>
      <w:marRight w:val="0"/>
      <w:marTop w:val="0"/>
      <w:marBottom w:val="0"/>
      <w:divBdr>
        <w:top w:val="none" w:sz="0" w:space="0" w:color="auto"/>
        <w:left w:val="none" w:sz="0" w:space="0" w:color="auto"/>
        <w:bottom w:val="none" w:sz="0" w:space="0" w:color="auto"/>
        <w:right w:val="none" w:sz="0" w:space="0" w:color="auto"/>
      </w:divBdr>
    </w:div>
    <w:div w:id="21467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cities.eu/coming-soon-a-european-community-of-local-one-stop-shops-for-home-energy-renovation/?utm_source=chatgp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4c029d-26fd-45c8-95ca-031b01e8980d" xsi:nil="true"/>
    <lcf76f155ced4ddcb4097134ff3c332f xmlns="af37ebc2-654b-4c36-8260-1de8f44a075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BB64DEDFAEEA142BE693148193C5734" ma:contentTypeVersion="13" ma:contentTypeDescription="Ein neues Dokument erstellen." ma:contentTypeScope="" ma:versionID="2e48ab731f32ede5c051e98591a3dc48">
  <xsd:schema xmlns:xsd="http://www.w3.org/2001/XMLSchema" xmlns:xs="http://www.w3.org/2001/XMLSchema" xmlns:p="http://schemas.microsoft.com/office/2006/metadata/properties" xmlns:ns2="af37ebc2-654b-4c36-8260-1de8f44a0758" xmlns:ns3="e64c029d-26fd-45c8-95ca-031b01e8980d" targetNamespace="http://schemas.microsoft.com/office/2006/metadata/properties" ma:root="true" ma:fieldsID="2fcde330c7d608b62296aa132f6a4253" ns2:_="" ns3:_="">
    <xsd:import namespace="af37ebc2-654b-4c36-8260-1de8f44a0758"/>
    <xsd:import namespace="e64c029d-26fd-45c8-95ca-031b01e898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7ebc2-654b-4c36-8260-1de8f44a0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fd77d1ea-f943-4271-9190-4e1d1fc681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c029d-26fd-45c8-95ca-031b01e898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4d2929-9dd0-4d53-be27-d5f05c3d19e9}" ma:internalName="TaxCatchAll" ma:showField="CatchAllData" ma:web="e64c029d-26fd-45c8-95ca-031b01e89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3B1BD-3D0D-4FFE-855C-2ED504F1ADFC}">
  <ds:schemaRefs>
    <ds:schemaRef ds:uri="http://schemas.microsoft.com/sharepoint/v3/contenttype/forms"/>
  </ds:schemaRefs>
</ds:datastoreItem>
</file>

<file path=customXml/itemProps2.xml><?xml version="1.0" encoding="utf-8"?>
<ds:datastoreItem xmlns:ds="http://schemas.openxmlformats.org/officeDocument/2006/customXml" ds:itemID="{1F2B7D00-296F-4DD4-A439-F8BC85DA6584}">
  <ds:schemaRefs>
    <ds:schemaRef ds:uri="http://schemas.microsoft.com/office/2006/metadata/properties"/>
    <ds:schemaRef ds:uri="http://schemas.microsoft.com/office/infopath/2007/PartnerControls"/>
    <ds:schemaRef ds:uri="e64c029d-26fd-45c8-95ca-031b01e8980d"/>
    <ds:schemaRef ds:uri="af37ebc2-654b-4c36-8260-1de8f44a0758"/>
  </ds:schemaRefs>
</ds:datastoreItem>
</file>

<file path=customXml/itemProps3.xml><?xml version="1.0" encoding="utf-8"?>
<ds:datastoreItem xmlns:ds="http://schemas.openxmlformats.org/officeDocument/2006/customXml" ds:itemID="{286ABBBD-681D-4DD5-89BC-804207D6DFE0}">
  <ds:schemaRefs>
    <ds:schemaRef ds:uri="http://schemas.openxmlformats.org/officeDocument/2006/bibliography"/>
  </ds:schemaRefs>
</ds:datastoreItem>
</file>

<file path=customXml/itemProps4.xml><?xml version="1.0" encoding="utf-8"?>
<ds:datastoreItem xmlns:ds="http://schemas.openxmlformats.org/officeDocument/2006/customXml" ds:itemID="{BBB328A4-966B-496F-9E90-5B15B009A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7ebc2-654b-4c36-8260-1de8f44a0758"/>
    <ds:schemaRef ds:uri="e64c029d-26fd-45c8-95ca-031b01e89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2590</Words>
  <Characters>15319</Characters>
  <Application>Microsoft Office Word</Application>
  <DocSecurity>0</DocSecurity>
  <Lines>382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Links>
    <vt:vector size="6" baseType="variant">
      <vt:variant>
        <vt:i4>7864343</vt:i4>
      </vt:variant>
      <vt:variant>
        <vt:i4>0</vt:i4>
      </vt:variant>
      <vt:variant>
        <vt:i4>0</vt:i4>
      </vt:variant>
      <vt:variant>
        <vt:i4>5</vt:i4>
      </vt:variant>
      <vt:variant>
        <vt:lpwstr>https://energy-cities.eu/coming-soon-a-european-community-of-local-one-stop-shops-for-home-energy-renovation/?utm_source=chatgpt.com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Chapelot</dc:creator>
  <cp:keywords/>
  <dc:description/>
  <cp:lastModifiedBy>Antonin Chapelot</cp:lastModifiedBy>
  <cp:revision>81</cp:revision>
  <dcterms:created xsi:type="dcterms:W3CDTF">2025-09-08T08:49:00Z</dcterms:created>
  <dcterms:modified xsi:type="dcterms:W3CDTF">2025-09-10T14:50:00Z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6bbab25f-1648-42d4-885e-e9a74fb9196f</vt:lpwstr>
  </property>
  <property fmtid="{D5CDD505-2E9C-101B-9397-08002B2CF9AE}" pid="3" name="ContentTypeId">
    <vt:lpwstr>0x0101000BB64DEDFAEEA142BE693148193C5734</vt:lpwstr>
  </property>
  <property fmtid="{D5CDD505-2E9C-101B-9397-08002B2CF9AE}" pid="4" name="MediaServiceImageTags">
    <vt:lpwstr/>
  </property>
</Properties>
</file>